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77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both"/>
        <w:textAlignment w:val="auto"/>
      </w:pPr>
      <w:r>
        <w:rPr>
          <w:rFonts w:hint="eastAsia"/>
          <w:lang w:val="en-US" w:eastAsia="zh-CN"/>
        </w:rPr>
        <w:t>附件2：专项类项目选题指南</w:t>
      </w:r>
    </w:p>
    <w:p w14:paraId="6376F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1、特种装备工程技术中心研究方向</w:t>
      </w:r>
    </w:p>
    <w:p w14:paraId="453EBE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方向1：关键零部件绿色制造与数字化装备</w:t>
      </w:r>
    </w:p>
    <w:p w14:paraId="2EEA26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337DCE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研究面向齿轮、曲面齿轮和传动部件等关键零部件的绿色精密制造技术，重点解决传统加工中能耗高、热变形大、表面质量波动和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工艺数字化程度不足等问题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让加工过程更精密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更高效、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更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低碳；</w:t>
      </w:r>
    </w:p>
    <w:p w14:paraId="5CD3F2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260D18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高速干式／准干式切削机理与绿色加工工艺、高速切削热－力耦合建模与数控加工模型、曲面齿轮等关键零部件精密制造工艺优化、飞秒激光精微加工与表面功能化制造、关键零部件数字化加工装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备与智能工艺控制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绿色制造过程能耗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质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量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－效率协同优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化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技术；</w:t>
      </w:r>
    </w:p>
    <w:p w14:paraId="75295E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014E21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高端装备制造、精密齿轮与传动系统、特种装备关键零部件制造、机器人关节与传动部件、航空航天精密构件、海洋工程装备零部件、新能源装备制造、智能制造生产线、绿色低碳制造与再制造工程；</w:t>
      </w:r>
    </w:p>
    <w:p w14:paraId="23C8E5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7C0F83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速干式切削与微量润滑技术（NMQL／Cryo－NMQL）、切削热－力－振动耦合建模技术（FEM／ALE－CEL／PINN）、数字孪生加工技术（DTM／CNCDT／MSDF－DT）、智能数控与自适应加工技术（ACC／ACO／AI－CNC）、飞秒激光微纳加工技术（fs－LIPSS／DLW／TPP）、表面微结构与功能化制造技术（LST／MST／SHS）、加工过程在线监测与预测控制技术（TCM／CD／MPC）、绿色制造与低碳工艺优化技术（LCA／CEM／CE－Mfg）</w:t>
      </w:r>
    </w:p>
    <w:p w14:paraId="2D20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F960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方向2：海洋工程智能装备</w:t>
      </w:r>
    </w:p>
    <w:p w14:paraId="1BD6BC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437538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研究面向海上平台、水下结构物和无人艇场景的海洋智能装备，重点解决高压、腐蚀、低能见度、弱通信和风浪扰动下的自主感知、稳定控制、可靠作业与长寿命运行问题；</w:t>
      </w:r>
    </w:p>
    <w:p w14:paraId="0B1206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343D1E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下桩腿清污机器人关键技术、水下机器人六自由度姿态自适应控制技术、水下高压水转换高压油与射流清洗技术、水下视觉／激光／声纳多模态感知与作业表面建模技术、六关节机械手与喷头路径规划控制技术、波浪／风帆推进特种无人艇技术、无人艇海上自组网与双向伺服定向通信技术、海洋水文气象参数感知融合与解耦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4"/>
          <w:sz w:val="32"/>
          <w:szCs w:val="32"/>
          <w14:textFill>
            <w14:solidFill>
              <w14:schemeClr w14:val="tx1"/>
            </w14:solidFill>
          </w14:textFill>
        </w:rPr>
        <w:t>建模技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3"/>
          <w:sz w:val="32"/>
          <w:szCs w:val="32"/>
          <w14:textFill>
            <w14:solidFill>
              <w14:schemeClr w14:val="tx1"/>
            </w14:solidFill>
          </w14:textFill>
        </w:rPr>
        <w:t>术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4"/>
          <w:sz w:val="32"/>
          <w:szCs w:val="32"/>
          <w14:textFill>
            <w14:solidFill>
              <w14:schemeClr w14:val="tx1"/>
            </w14:solidFill>
          </w14:textFill>
        </w:rPr>
        <w:t>、艇载电子设备海洋环境加固与长寿命可靠性设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计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技术；</w:t>
      </w:r>
    </w:p>
    <w:p w14:paraId="487BAB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3C53D5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海上平台桩腿清污与检测、海洋工程结构物运维、海上风电基础设施巡检、海洋水文气象观测、无人艇长航时巡航、海洋环境保护、海上应急搜救、智慧海洋与海洋智能装备产业化；</w:t>
      </w:r>
    </w:p>
    <w:p w14:paraId="348416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4044C5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下机器人自主作业技术（ROV／AUV／UUV）、六自由度姿态控制与运动补偿技术（6－DOF／MPC／ADRC）、水下多模态感知融合技术（StereoVision／Sonar－SLAM／LiDAR－SonarFusion）、水下图像识别与作业表面建模技术（CNN／YOLO／3DReconstruction）、水下机械臂协同控制与路径规划技术（UVMS／RRT／MPC＊）、特种无人艇自主航行与智能避碰技术（USV／COLREGs／APF）、波浪能／风帆推进与长续航技术（WEC／WPD／EnergyHarvesting）、海洋多源信息融合与智能决策技术（MSDF／EKF／AIoT）</w:t>
      </w:r>
    </w:p>
    <w:p w14:paraId="5FE5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4DD1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方向3：具身智能协同集群装备及关键技术</w:t>
      </w:r>
    </w:p>
    <w:p w14:paraId="627828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3395CC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研究让一群“有身体、能感知、会学习”的无人装备，在复杂环境下，像蚁群鸟群一样协同完成复杂任务的技术；</w:t>
      </w:r>
    </w:p>
    <w:p w14:paraId="6E99DB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135698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多源异构时空多模态感知融合技术及装备、分布式集群任务协同规划技术、人机协同与混合增强智能技术、基于复杂网络演化的集群协同优化技术；</w:t>
      </w:r>
    </w:p>
    <w:p w14:paraId="20CBB7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6F2915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低空物流、农业植保、应急安防（如海洋无人艇、无人机集群协同任务）；</w:t>
      </w:r>
    </w:p>
    <w:p w14:paraId="0FAA88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07B74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图神经网络（GNN／GCN／GAT）、多智能体强化学习（MARL／CTDE）、复杂网络动力学（CND／EGT／GCD）、多模态感知融合（MMF／GSP／ST－GCN／Tensor－D）、可解释AI（XAI／SHAP）</w:t>
      </w:r>
    </w:p>
    <w:p w14:paraId="2A0082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</w:p>
    <w:p w14:paraId="737EB6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2、“东纵精神”传承特色创新团队研究方向</w:t>
      </w:r>
    </w:p>
    <w:p w14:paraId="5D8B8C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方向1：东纵历史人物、华侨参与与精神传承研究</w:t>
      </w:r>
    </w:p>
    <w:p w14:paraId="417DCB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对象</w:t>
      </w:r>
    </w:p>
    <w:p w14:paraId="151377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方向以东江纵队相关的“人、物、事”为主要研究对象。“人”包括华侨、党组织、人民群众和东纵将士；“物”包括革命遗址、书籍文献、书信档案、历史遗物等；“事”包括家国情怀、抗战实践、群众动员、华侨支援和东纵精神传承等内容；</w:t>
      </w:r>
    </w:p>
    <w:p w14:paraId="4D088C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</w:t>
      </w:r>
    </w:p>
    <w:p w14:paraId="05AC16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研究主要围绕东纵历史、华南抗战、侨乡红色文化和东纵精神传承展开。</w:t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ascii="Times New Roman" w:hAnsi="Times New Roman" w:eastAsia="仿宋_GB2312" w:cs="仿宋_GB2312"/>
          <w:sz w:val="32"/>
          <w:szCs w:val="32"/>
        </w:rPr>
        <w:t>地域范围重点聚焦增城、新会、台山等与东纵历史和侨乡文化联系较紧密的地区。时间范围主要以抗战时期东江纵队形成、发展和斗争历程为核心，并延伸至新时代东纵精神的传承转化；</w:t>
      </w:r>
    </w:p>
    <w:p w14:paraId="7F0BF8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7A92E8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东纵重要人物与组织网络研究、华侨和地方社会参与抗战研究、革命遗址与书籍文献／书信档案／历史遗物整理研究、东纵精神内涵与生成逻辑研究、增城／新会／台山等地红色资源研究、东纵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4"/>
          <w:sz w:val="32"/>
          <w:szCs w:val="32"/>
          <w14:textFill>
            <w14:solidFill>
              <w14:schemeClr w14:val="tx1"/>
            </w14:solidFill>
          </w14:textFill>
        </w:rPr>
        <w:t>人物事迹与红色故事叙事研究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3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4"/>
          <w:sz w:val="32"/>
          <w:szCs w:val="32"/>
          <w14:textFill>
            <w14:solidFill>
              <w14:schemeClr w14:val="tx1"/>
            </w14:solidFill>
          </w14:textFill>
        </w:rPr>
        <w:t>东纵精神融入爱国主义教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育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研究；</w:t>
      </w:r>
    </w:p>
    <w:p w14:paraId="665BDB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03534D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地方党史与革命史研究、东纵红色文化资源保护、革命纪念馆和党史馆展陈、红色教育基地建设、爱国主义教育课程开发、侨乡红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色文化传播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粤港澳大湾区共同历史记忆建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、基层思想政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治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教育；</w:t>
      </w:r>
    </w:p>
    <w:p w14:paraId="607F44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259DA8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档案文献整理与口述史方法（ArchivalResearch／OralHistory／SourceCriticism）、人物群体研究与历史传记方法（Prosopography／HistoricalBiography／LifeHistory）、历史社会网络分析方法（SNA／Ego－network／RelationalData）、</w:t>
      </w:r>
      <w:r>
        <w:rPr>
          <w:rFonts w:ascii="Times New Roman" w:hAnsi="Times New Roman" w:eastAsia="仿宋_GB2312" w:cs="仿宋_GB2312"/>
          <w:sz w:val="32"/>
          <w:szCs w:val="32"/>
        </w:rPr>
        <w:t>数字化保护与开放利用技术（DH／DigitalPreservation／OAIS）、智能整理与文本挖掘技术（OCR／NLP／TextMining）</w:t>
      </w:r>
    </w:p>
    <w:p w14:paraId="073FD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6F72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方向2：东纵精神融入高校思政课一体化建设研究</w:t>
      </w:r>
    </w:p>
    <w:p w14:paraId="3D756E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对象</w:t>
      </w:r>
    </w:p>
    <w:p w14:paraId="32026C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方向以东纵精神融入学校思政教育的课程、教材、课堂和实践活动为主要研究对象。“课”包括高校思政课一体化课程体系；“材”包括东纵历史人物、革命事迹、华侨支援、红色遗址、口述史和地方红色文化资源；“育”包括学生理想信念教育、爱国主义教育、党史学习教育、国家认同教育和价值认同培育等内容；</w:t>
      </w:r>
    </w:p>
    <w:p w14:paraId="5310DD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范围</w:t>
      </w:r>
    </w:p>
    <w:p w14:paraId="1FDABF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sz w:val="32"/>
          <w:szCs w:val="32"/>
        </w:rPr>
        <w:t>研究主要围绕东纵精神课程化转化、思政课教学改革一体化建设展开。地域范围重点聚焦广东省内与东纵历史、侨乡文化和红色资源联系较紧密的学校、红色教育基地和地方课程资源。内容范围主要包括东纵故事进课堂、红色资源进教材、红色研学进实践、东纵精神进学生价值认同等方面；</w:t>
      </w:r>
    </w:p>
    <w:p w14:paraId="6814CF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44C8F8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纵精神融入高校思政课专题教学研究、东纵历史人物／革命事迹／华侨支援案例课程化转化研究、东纵红色资源融入大学思政课一体化建设研究、东纵精神融入“大思政课”实践育人研究、东纵红色研学与现场教学课程开发研究、东纵精神数字化教学资源库建设研究、东纵精神育人成效与学生价值认同生成研究；</w:t>
      </w:r>
    </w:p>
    <w:p w14:paraId="6DFD6F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46D605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思政课改革、地方红色资源进课堂、大学思政课一体化建设、爱国主义教育、党史学习教育、红色研学课程开发、思政课实践教学基地建设、数字思政资源库建设、地方红色文化教材开发、思政课教师培训、学校思想政治工作品牌建设；</w:t>
      </w:r>
    </w:p>
    <w:p w14:paraId="26E3EB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2DA13A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思想政治教育课程开发方法（CurriculumDevelopment／Case－basedTeaching／InstructionalDesign）、学生价值认同与学习成效评价方法（OBE／CIPP／Mixed－methodsEvaluation）、</w:t>
      </w:r>
      <w:r>
        <w:rPr>
          <w:rFonts w:ascii="Times New Roman" w:hAnsi="Times New Roman" w:eastAsia="仿宋_GB2312" w:cs="仿宋_GB2312"/>
          <w:sz w:val="32"/>
          <w:szCs w:val="32"/>
        </w:rPr>
        <w:t>数字化教学资源库建设技术（DigitalRepository／SmartIPE）、成效评价与价值认同研究方法（OBE／CIPP／Mixed－methodsEvaluation）</w:t>
      </w:r>
    </w:p>
    <w:p w14:paraId="3D781D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3914F1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方向3：东纵精神赋能乡村振兴与红色文旅研究</w:t>
      </w:r>
    </w:p>
    <w:p w14:paraId="554326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对象</w:t>
      </w:r>
    </w:p>
    <w:p w14:paraId="70D5C9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方向以东纵精神赋能乡村振兴与红色文旅发展的机制、路径和实践模式为主要研究对象。重点关注东纵历史遗存、革命旧址、红色村落、纪念场馆、红色人物故事、侨乡文化资源和乡村公共文化空间等内容，研究东纵精神如何从红色历史资源转化为乡村文化振兴、产业振兴和红色文旅融合发展的现实支撑。</w:t>
      </w:r>
    </w:p>
    <w:p w14:paraId="1AF2B4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范围</w:t>
      </w:r>
    </w:p>
    <w:p w14:paraId="4CC3AF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研究主要围绕东纵精神的乡村转化、红色资源活化利用、红色文旅产品开发和乡村振兴实践路径展开。地域范围重点聚焦广东省内与东纵历史、侨乡文化和红色资源联系较紧密的乡村、红色遗址、革命纪念场馆和文旅实践基地。内容范围主要包括东纵红色资源保护利用、红色村落建设、红色研学课程开发、红色文旅线路设计、乡村文创产品开发、农文旅融合发展和红色文化品牌塑造等方面。</w:t>
      </w:r>
    </w:p>
    <w:p w14:paraId="0734DC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731D3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纵红色资源保护利用与乡村文化振兴研究、东纵精神赋能红色村落建设研究、革命旧址／纪念场馆／乡村红色空间活化研究、东纵红色研学课程与实践教育基地建设研究、红色文旅线路开发与品牌塑造研究、东纵精神与侨乡文化／地方民俗／乡土记忆融合研究、红色文创产品开发与乡村特色产业联动研究、红色文旅助推农文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旅融合和乡村产业振兴研究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3"/>
          <w:sz w:val="32"/>
          <w:szCs w:val="32"/>
          <w14:textFill>
            <w14:solidFill>
              <w14:schemeClr w14:val="tx1"/>
            </w14:solidFill>
          </w14:textFill>
        </w:rPr>
        <w:t>红色文化资源活化利用成效评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价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研究；</w:t>
      </w:r>
    </w:p>
    <w:p w14:paraId="41C5B8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212383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色村落建设、乡村文化振兴、乡村产业振兴、红色旅游开发、红色研学课程建设、革命旧址保护利用、纪念馆和党史教育基地建设、乡村文创产品开发、农文旅融合示范项目、地方红色文化品牌塑造、乡村公共文化服务提升、乡村振兴示范点建设、爱国主义教育基地和红色教育实践基地建设；</w:t>
      </w:r>
    </w:p>
    <w:p w14:paraId="1F682E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206BD3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色旅游与遗产活化研究方法（RedTourism／HeritageStudies／Place－making）、乡村文化空间与文化景观分析方法（CulturalGeography／HGIS／CulturalRoute）、旅游体验与游客行为研究方法（VisitorStudies／SurveyResearch／SEM）、空间可视化技术（GIS／HGIS／CulturalRoute）、数字化传播与沉浸式体验设计技术（DigitalStorytelling／VR－AR）</w:t>
      </w:r>
    </w:p>
    <w:p w14:paraId="361F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F9B9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3、荔枝四维立体种养模式科研团队研究方向</w:t>
      </w:r>
    </w:p>
    <w:p w14:paraId="0E2E32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方向1：技术集成及环境生态机制研究</w:t>
      </w:r>
    </w:p>
    <w:p w14:paraId="5D36AB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2A3425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荔枝园中“果、药、菇、蜜”等生产要素如何在空间、季节和生态循环中协同配置，重点解决林下资源利用不足、土壤健康退化、生态效益难量化和技术规程不统一等问题，形成可复制、可推广的四维立体种养技术体系；</w:t>
      </w:r>
    </w:p>
    <w:p w14:paraId="1D60AB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29CD25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荔枝四维立体种养模式技术集成研究、荔枝园林下药用植物／食用菌／蜜源植物适生配置研究、果药菇蜜多要素协同种植技术拓展研究、荔枝园土壤微生物群落与根际生态机制研究、微生物环境／土壤肥力／果园生态功能协同调控研究、菌渣和果园废弃物资源化利用研究、蜜蜂授粉与病虫害绿色防控研究、四维立体种养技术规程和评价指标体系建设研究、模式示范推广与区域适配性研究；</w:t>
      </w:r>
    </w:p>
    <w:p w14:paraId="1C03C9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4E0490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荔枝园提质增效、岭南特色果业绿色转型、林下经济开发、生态循环农业建设、果园土壤改良与地力提升、农业面源污染减控、蜜蜂授粉与果业协同发展、药食同源植物种植、食用菌循环生产、绿色农产品生产、现代农业产业园建设、乡村振兴示范基地建设、四维立体种养技术标准化推广；</w:t>
      </w:r>
    </w:p>
    <w:p w14:paraId="6206B8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6FEB60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合生态种养技术集成研究（AFS／IFS／Agroecology）、复合种植与空间优化技术（Intercropping／CanopyOptimization）、根际微生物与土壤健康调控技术（PGPR／AMF／SoilMicrobiome）、菌渣资源化利用与土壤改良技术（SMS／Composting／Biochar）、病虫害生态防控与绿色植保技术（IPM／Biocontrol）、立体种养生态效益与环境影响评价方法（LCA／ESV／MFA）</w:t>
      </w:r>
    </w:p>
    <w:p w14:paraId="2A72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FFB6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方向2：产品有效成分及药用价值研究</w:t>
      </w:r>
    </w:p>
    <w:p w14:paraId="4BA31C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75D6E4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研究四维立体种养模式下荔枝、林下药用植物、食用菌和蜂蜜等产品的有效成分、营养品质、功能活性和加工利用价值，重点解释不同种养组合、生态环境和加工方式如何影响产品品质形成与高值化转化；</w:t>
      </w:r>
    </w:p>
    <w:p w14:paraId="4BCF8C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2D4F40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药菇蜜产品有效成分检测与分析技术研究、不同种养模式下产品有效成分比较分析研究、荔枝果实营养品质／风味成分／抗氧化活性研究、林下药用植物活性成分积累规律与质量评价研究、食用菌多糖／β－葡聚糖／氨基酸／麦角硫因等功能成分研究、蜂蜜酚类物质／挥发性风味物质／蜜源特征研究、产品食用价值与药用价值评价研究、功能活性／加工适应性／稳定性研究、荔枝及复合产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4"/>
          <w:sz w:val="32"/>
          <w:szCs w:val="32"/>
          <w14:textFill>
            <w14:solidFill>
              <w14:schemeClr w14:val="tx1"/>
            </w14:solidFill>
          </w14:textFill>
        </w:rPr>
        <w:t>品深加工和功能食品开发研究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3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4"/>
          <w:sz w:val="32"/>
          <w:szCs w:val="32"/>
          <w14:textFill>
            <w14:solidFill>
              <w14:schemeClr w14:val="tx1"/>
            </w14:solidFill>
          </w14:textFill>
        </w:rPr>
        <w:t>产品质量控制与标准化检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测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研究；</w:t>
      </w:r>
    </w:p>
    <w:p w14:paraId="6882FF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2B06E4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品质荔枝产品开发、林下药用植物资源利用、食用菌功能产品加工、特色蜂蜜产品开发、药食同源产品研发、功能食品与营养健康产品开发、农产品精深加工、地方特色农产品品牌建设、绿色食品和地理标志产品培育、现代农业产业链延伸、乡村特色产业提升、生态农业高附加值转化；</w:t>
      </w:r>
    </w:p>
    <w:p w14:paraId="753DE5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791CA8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成分精准检测技术（HPLC／UPLC／LC－MS／MS）、产品风味物质与挥发性成分分析技术（GC－MS／HS－SPME－GC－MS／E－nose）、多组学联合解析与品质形成机制研究（Metabolomics／Proteomics／Multi－omics）、药用植物质量标志物与活性成分评价方法（Q－Marker／UPLC－QTOF－MS／Chemometrics）、食用菌功能成分解析技术（β－glucan／EPS／EGT）、有效成分抗氧化与生物活性评价方法（DPPH－ABTS－FRAP／Cell－basedAssay）</w:t>
      </w:r>
    </w:p>
    <w:p w14:paraId="5D64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5CCF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方向3：协同社会经济效益研究</w:t>
      </w:r>
    </w:p>
    <w:p w14:paraId="1B354E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5929A6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研究荔枝四维立体种养模式带来的经济、生态、社会和传播效益，重点回答该模式能否提高综合收益、促进农户采纳、改善生态环境、支撑政府推广并形成区域农业品牌；</w:t>
      </w:r>
    </w:p>
    <w:p w14:paraId="175026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137BD0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荔枝四维立体种养模式综合效益评价研究、果药菇蜜协同发展的经济／生态／社会效益测算研究、政府推广成效与政策支持材料整理研究、种植户收益变化／采纳意愿／满意度评价研究、典型案例与示范基地推广模式总结研究、特色产品品牌定位与包装设计研究、媒体传播和科普宣传路径研究、区域农业品牌建设与乡村产业形象传播研究、综合效益可视化展示与决策支持研究；</w:t>
      </w:r>
    </w:p>
    <w:p w14:paraId="131210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42842A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示范项目绩效评价、乡村振兴示范材料整理、政府农业推广决策支持、种植户增收评价、农业合作社经营优化、生态农业品牌建设、特色农产品包装推广、现代农业产业园宣传展示、媒体传播与科普推广、农文旅融合项目策划、地方农业品牌塑造、政策汇报材料和项目验收材料支撑；</w:t>
      </w:r>
    </w:p>
    <w:p w14:paraId="7D7ECA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34ADF2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效益评价方法（CBA／SROI／AHP－TOPSIS）、生态经济协同效益测算方法（LCA／ESV／MFA）、绩效与政策效果评价方法（PolicyEvaluation／LogicModel／CIPP）、多主体参与和利益相关者分析方法（StakeholderAnalysis／PRA／SNA）、综合效益可视化与决策支持技术（DSS／Dashboard／GISVisualization）</w:t>
      </w:r>
    </w:p>
    <w:p w14:paraId="1E54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50E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4、“侨乡与海外华人社会研究”省级创新团队方向</w:t>
      </w:r>
    </w:p>
    <w:p w14:paraId="58EF64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方向1：侨乡历史文化传承与华文海外传播研究</w:t>
      </w:r>
    </w:p>
    <w:p w14:paraId="1239C2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0112EE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侨乡历史记忆、文化遗产、移民故事、家族网络和华文海外传播，重点梳理侨乡与海外华人社会之间长期形成的“人、文、物、信、钱、情”联系，解释侨乡文化如何形成、远播、被记忆认同并在数字平台和国际交流中再传播；</w:t>
      </w:r>
    </w:p>
    <w:p w14:paraId="155392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3C1D67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侨乡历史文化资源整理与阐释研究、侨批侨刊与海外华人文献数字化整理研究、侨乡建筑与移民文化遗产保护研究、海外华人家族网络与跨国社会关系研究、华文海外传播路径与接受机制研究、海外华文媒体与数字传播研究、侨乡文化资源数字化平台与数据库建设研究；</w:t>
      </w:r>
    </w:p>
    <w:p w14:paraId="320C2A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37436A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侨乡文化遗产保护、侨批侨刊整理与数字化利用、侨乡文旅融合、海外华文教育资源开发、国际中文教育、海外华人社团研究、地方国际传播能力建设、中华文化海外传播；</w:t>
      </w:r>
    </w:p>
    <w:p w14:paraId="723E22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3D1DEE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侨乡文献整理与侨批侨刊研究方法（ArchivalResearch／TextualCriticism／PeriodicalStudies）、历史记忆与身份认同研究方法（CollectiveMemory／IdentityStudies／NarrativeAnalysis）、数字人文与文献智能整理方法（DH／OCR－HTR／NLP）、空间人文与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59"/>
          <w:sz w:val="32"/>
          <w:szCs w:val="32"/>
          <w14:textFill>
            <w14:solidFill>
              <w14:schemeClr w14:val="tx1"/>
            </w14:solidFill>
          </w14:textFill>
        </w:rPr>
        <w:t>文化遗产可视化方法（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HGI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59"/>
          <w:sz w:val="32"/>
          <w:szCs w:val="32"/>
          <w14:textFill>
            <w14:solidFill>
              <w14:schemeClr w14:val="tx1"/>
            </w14:solidFill>
          </w14:textFill>
        </w:rPr>
        <w:t>S／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SpatialHumanitie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60"/>
          <w:sz w:val="32"/>
          <w:szCs w:val="32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_GB2312" w:cs="仿宋_GB2312"/>
          <w:b w:val="0"/>
          <w:color w:val="000000" w:themeColor="text1"/>
          <w:spacing wpsCustomData:val="-6" w:val="-6"/>
          <w:sz w:val="32"/>
          <w:szCs w:val="32"/>
          <w14:textFill>
            <w14:solidFill>
              <w14:schemeClr w14:val="tx1"/>
            </w14:solidFill>
          </w14:textFill>
        </w:rPr>
        <w:t>／</w:t>
      </w: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CulturalMapping）</w:t>
      </w:r>
    </w:p>
    <w:p w14:paraId="0031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1129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方向2：侨乡华文教育资源开发利用研究</w:t>
      </w:r>
    </w:p>
    <w:p w14:paraId="0EC370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3AC2D2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如何把侨乡历史、侨批侨刊、家族故事、民俗节庆、地方建筑、饮食文化、红色记忆和迁徙经验转化为海外华裔青少年愿意学、听得懂、用得上的华文教育资源，推动华文学习从语言训练延伸到文化认同和情感连接；</w:t>
      </w:r>
    </w:p>
    <w:p w14:paraId="7F28EC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子方向</w:t>
      </w:r>
    </w:p>
    <w:p w14:paraId="1BA215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侨乡特色华文教材与课程资源开发、海外华裔青少年华语传承与学习需求研究、侨批侨刊与侨乡文化资源课程化转化研究、华文教育数字资源库与线上课程平台建设、侨乡寻根研学与华文教育融合研究、海外华校教师教学资源支持研究、华裔新生代文化认同与语言保持研究、人工智能辅助华文学习与个性化教学研究、线上线下混合式华文教育模式研究；</w:t>
      </w:r>
    </w:p>
    <w:p w14:paraId="4B7ACE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前景应用领域</w:t>
      </w:r>
    </w:p>
    <w:p w14:paraId="603937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外华校课程建设、国际中文教育、华裔青少年寻根教育、侨乡文化国际传播、地方高校服务侨务工作、华文教材与数字资源开发、海外华人社团文化活动、青少年夏令营与研学课程、线上中文教学平台、侨乡文化资源进课堂、中华文化海外传播与代际传承；</w:t>
      </w:r>
    </w:p>
    <w:p w14:paraId="28770F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聚焦核心前沿</w:t>
      </w:r>
    </w:p>
    <w:p w14:paraId="4D3A03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语传承语教育研究方法（ChineseasaHeritageLanguage／HeritageLanguagePedagogy／LearnerIdentity）、跨语实践与多语课堂研究方法（Translanguaging／MultilingualPedagogy／ClassroomEthnography）、数字故事与多模态学习资源开发方法（DST／Multiliteracies／MALL）、学习分析与个性化学习支持方法（LA／EDM／AdaptiveLearning）、寻根研学与身份认同建构研究方法（Root－seekingEducation／ExperientialLearning／IdentityNegotiation）</w:t>
      </w:r>
    </w:p>
    <w:p w14:paraId="304E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30B9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方向3：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侨乡特殊教育、心理健康与融合支持研究</w:t>
      </w:r>
    </w:p>
    <w:p w14:paraId="46FA94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通俗解释</w:t>
      </w:r>
    </w:p>
    <w:p w14:paraId="5C4D2B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海外华侨华人及其子女在教育适应、心理健康、特殊教育和社会融合中遇到的现实问题，重点关注儿童、青少年、留学生和特殊需要群体如何在多语言、多文化和不同学校制度中获得学习支持、心理支持和融合支持；</w:t>
      </w:r>
    </w:p>
    <w:p w14:paraId="238F4E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子方向</w:t>
      </w:r>
    </w:p>
    <w:p w14:paraId="5F98BB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侨华人子女跨文化教育适应与学校融入研究、海外华裔青少年心理健康与身份认同研究、华侨华人家庭特殊教育需求识别与支持研究、特殊教育需要儿童早期筛查与干预研究、华校与主流学校融合教育支持机制研究、华侨华人家庭亲子沟通与家庭教育指导研究、海外华人社区心理服务与社会支持网络研究；</w:t>
      </w:r>
    </w:p>
    <w:p w14:paraId="7B7D72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前景应用领域</w:t>
      </w:r>
    </w:p>
    <w:p w14:paraId="4ED139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海外华校融合教育支持、华裔青少年心理健康服务、华侨华人家庭教育指导、特殊教育资源开发、海外华人社区社会工作、侨务公共服务体系建设、跨文化心理咨询与危机干预；</w:t>
      </w:r>
    </w:p>
    <w:p w14:paraId="00D967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  <w:r>
        <w:t>聚焦核心前沿</w:t>
      </w:r>
    </w:p>
    <w:p w14:paraId="4DEC4F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hint="eastAsia"/>
          <w:lang w:val="en-US" w:eastAsia="zh-CN"/>
        </w:rPr>
      </w:pPr>
      <w:r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文化适应与心理健康研究方法（Acculturation／BII／CALDMentalHealth）、跨文化心理咨询与循证干预方法（CA－CBT／Trauma－informedCare／Psychoeducation）、家庭教育与社会支持网络研究方法（FamilySystems／SocialSupport／SNA）、特殊教育需要识别与融合教育支持技术（IEP／InclusiveEducation）</w:t>
      </w:r>
    </w:p>
    <w:p w14:paraId="3FA328D4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A0F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AA57D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6AA57D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53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652A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9652A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5FD41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475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5CFD"/>
    <w:rsid w:val="0184512F"/>
    <w:rsid w:val="02511F45"/>
    <w:rsid w:val="0487726F"/>
    <w:rsid w:val="06932A9F"/>
    <w:rsid w:val="06B75848"/>
    <w:rsid w:val="06D2293F"/>
    <w:rsid w:val="094E5A0C"/>
    <w:rsid w:val="0A537970"/>
    <w:rsid w:val="0A7853DD"/>
    <w:rsid w:val="0CC64583"/>
    <w:rsid w:val="0EEC49DB"/>
    <w:rsid w:val="0F1306A2"/>
    <w:rsid w:val="11D54917"/>
    <w:rsid w:val="11F0547A"/>
    <w:rsid w:val="15000BA8"/>
    <w:rsid w:val="15132985"/>
    <w:rsid w:val="18823AC5"/>
    <w:rsid w:val="18E4227A"/>
    <w:rsid w:val="194C2307"/>
    <w:rsid w:val="1B4F4EDD"/>
    <w:rsid w:val="1BD73447"/>
    <w:rsid w:val="1C2241CD"/>
    <w:rsid w:val="1C6F24E2"/>
    <w:rsid w:val="1CC93433"/>
    <w:rsid w:val="1EBF3D51"/>
    <w:rsid w:val="204561FB"/>
    <w:rsid w:val="20E0610C"/>
    <w:rsid w:val="21C52DE9"/>
    <w:rsid w:val="2726597F"/>
    <w:rsid w:val="28371EDF"/>
    <w:rsid w:val="2AD652FE"/>
    <w:rsid w:val="2B270026"/>
    <w:rsid w:val="2B36443F"/>
    <w:rsid w:val="2C453E2B"/>
    <w:rsid w:val="2DD231BE"/>
    <w:rsid w:val="2E38792A"/>
    <w:rsid w:val="2E8C7BEE"/>
    <w:rsid w:val="2EE854F4"/>
    <w:rsid w:val="2F067332"/>
    <w:rsid w:val="312D229F"/>
    <w:rsid w:val="32A31D05"/>
    <w:rsid w:val="32C15A1E"/>
    <w:rsid w:val="33997993"/>
    <w:rsid w:val="34C82BB2"/>
    <w:rsid w:val="369A7727"/>
    <w:rsid w:val="37BF40CD"/>
    <w:rsid w:val="381B0AD8"/>
    <w:rsid w:val="3BBB75D3"/>
    <w:rsid w:val="3CD61E49"/>
    <w:rsid w:val="3D296645"/>
    <w:rsid w:val="3E37708B"/>
    <w:rsid w:val="3F056068"/>
    <w:rsid w:val="40681C47"/>
    <w:rsid w:val="40DF387B"/>
    <w:rsid w:val="40E636F9"/>
    <w:rsid w:val="425F77E6"/>
    <w:rsid w:val="43D83178"/>
    <w:rsid w:val="461036EB"/>
    <w:rsid w:val="4670113A"/>
    <w:rsid w:val="47BF6BE7"/>
    <w:rsid w:val="4A6C7BBE"/>
    <w:rsid w:val="4D3B252B"/>
    <w:rsid w:val="4D4B72A8"/>
    <w:rsid w:val="4D4E7696"/>
    <w:rsid w:val="4E056A63"/>
    <w:rsid w:val="4EBC61B6"/>
    <w:rsid w:val="51155AAA"/>
    <w:rsid w:val="51245962"/>
    <w:rsid w:val="517B25FD"/>
    <w:rsid w:val="51E00B23"/>
    <w:rsid w:val="528A4CF6"/>
    <w:rsid w:val="52CC0FE3"/>
    <w:rsid w:val="54FE2A13"/>
    <w:rsid w:val="55F57A8F"/>
    <w:rsid w:val="56A1405A"/>
    <w:rsid w:val="59B648BC"/>
    <w:rsid w:val="5A693FDA"/>
    <w:rsid w:val="5B2A6EB5"/>
    <w:rsid w:val="5C15299D"/>
    <w:rsid w:val="5C313B0B"/>
    <w:rsid w:val="5FBA10EE"/>
    <w:rsid w:val="600225BA"/>
    <w:rsid w:val="64831853"/>
    <w:rsid w:val="66391F1D"/>
    <w:rsid w:val="66D6087F"/>
    <w:rsid w:val="67DE5713"/>
    <w:rsid w:val="67E14F7F"/>
    <w:rsid w:val="68425464"/>
    <w:rsid w:val="686F7322"/>
    <w:rsid w:val="6977720C"/>
    <w:rsid w:val="6AC458C1"/>
    <w:rsid w:val="6E5F4F6A"/>
    <w:rsid w:val="6ED03E76"/>
    <w:rsid w:val="70F55CFD"/>
    <w:rsid w:val="74D85619"/>
    <w:rsid w:val="75336751"/>
    <w:rsid w:val="75617FF5"/>
    <w:rsid w:val="757921C7"/>
    <w:rsid w:val="760A3A7A"/>
    <w:rsid w:val="792F5E00"/>
    <w:rsid w:val="79F134EC"/>
    <w:rsid w:val="7AD36723"/>
    <w:rsid w:val="7B8F7300"/>
    <w:rsid w:val="7C5C650E"/>
    <w:rsid w:val="7C7E74CC"/>
    <w:rsid w:val="7D095FD3"/>
    <w:rsid w:val="7ED94253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next w:val="1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2026-06-09T02:58:00Z</dcterms:created>
  <dc:creator>李思然</dc:creator>
  <cp:lastModifiedBy>李思然</cp:lastModifiedBy>
  <dcterms:modified xsi:type="dcterms:W3CDTF">2026-06-09T02:58:56Z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261B5FB745D540DD98BFDFBA4E3E0FED_11</vt:lpwstr>
  </property>
  <property fmtid="{D5CDD505-2E9C-101B-9397-08002B2CF9AE}" pid="4" name="KSOTemplateDocerSaveRecord">
    <vt:lpwstr>eyJoZGlkIjoiYzY4NTRlNWVkN2U4MjQ0YWRiZjI3MGEwNWE4YjYxNTkiLCJ1c2VySWQiOiIyNTI1OTk4ODcifQ==</vt:lpwstr>
  </property>
</Properties>
</file>