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auto"/>
          <w:spacing w:val="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pacing w:val="12"/>
          <w:kern w:val="2"/>
          <w:sz w:val="32"/>
          <w:szCs w:val="32"/>
          <w:lang w:val="en-US" w:eastAsia="zh-CN" w:bidi="ar-SA"/>
        </w:rPr>
        <w:t>附件2</w:t>
      </w:r>
    </w:p>
    <w:p w14:paraId="3F780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kern w:val="2"/>
          <w:sz w:val="30"/>
          <w:szCs w:val="30"/>
          <w:lang w:val="en-US" w:eastAsia="zh-CN" w:bidi="ar-SA"/>
        </w:rPr>
        <w:t>佛山市2026年度社科规划项目“青年项目、共建项目”</w:t>
      </w:r>
    </w:p>
    <w:p w14:paraId="2C18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kern w:val="2"/>
          <w:sz w:val="30"/>
          <w:szCs w:val="30"/>
          <w:lang w:val="en-US" w:eastAsia="zh-CN" w:bidi="ar-SA"/>
        </w:rPr>
        <w:t>选题参考</w:t>
      </w:r>
    </w:p>
    <w:p w14:paraId="768598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eastAsia="宋体"/>
          <w:color w:val="auto"/>
          <w:sz w:val="28"/>
          <w:szCs w:val="28"/>
          <w:u w:val="none"/>
          <w:lang w:val="en-US" w:eastAsia="zh-CN"/>
        </w:rPr>
      </w:pPr>
    </w:p>
    <w:p w14:paraId="1446013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生产性服务业如何赋能佛山现代化产业体系</w:t>
      </w:r>
    </w:p>
    <w:p w14:paraId="47FCE4D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佛山中试平台推进科技成果转化路径研究</w:t>
      </w:r>
    </w:p>
    <w:p w14:paraId="7E8DB43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佛山新兴产业“链主”企业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0"/>
      </w:r>
      <w:r>
        <w:rPr>
          <w:rFonts w:hint="eastAsia"/>
          <w:color w:val="auto"/>
          <w:sz w:val="24"/>
          <w:szCs w:val="24"/>
        </w:rPr>
        <w:t>培育策略</w:t>
      </w:r>
    </w:p>
    <w:p w14:paraId="021D089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人工智能大模型在佛山重点产业的应用与实施路径</w:t>
      </w:r>
    </w:p>
    <w:p w14:paraId="67672E6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佛山“专精特新”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1"/>
      </w:r>
      <w:r>
        <w:rPr>
          <w:rFonts w:hint="eastAsia"/>
          <w:color w:val="auto"/>
          <w:sz w:val="24"/>
          <w:szCs w:val="24"/>
        </w:rPr>
        <w:t>企业北交所上市路径分析</w:t>
      </w:r>
    </w:p>
    <w:p w14:paraId="1C78156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佛山“专精特新”企业梯队培育模式与成长生态优化</w:t>
      </w:r>
    </w:p>
    <w:p w14:paraId="6EFF996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“人工智能+制造业”融合路径与示范高地建设策略</w:t>
      </w:r>
    </w:p>
    <w:p w14:paraId="229E8FC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低碳转型背景下佛山重点产业绿色标准体系构建</w:t>
      </w:r>
    </w:p>
    <w:p w14:paraId="701B4B1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佛山传统产业“智改数转”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2"/>
      </w:r>
      <w:r>
        <w:rPr>
          <w:rFonts w:hint="eastAsia"/>
          <w:color w:val="auto"/>
          <w:sz w:val="24"/>
          <w:szCs w:val="24"/>
        </w:rPr>
        <w:t>的现状与展望</w:t>
      </w:r>
    </w:p>
    <w:p w14:paraId="2D11AF9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佛山市战略性新兴产业产业空间弹性储备与供给研究</w:t>
      </w:r>
    </w:p>
    <w:p w14:paraId="35B0851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“佛山标准”引领新型工业化的市场推广机制与政策优化</w:t>
      </w:r>
    </w:p>
    <w:p w14:paraId="62E2774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佛山工业互联网平台赋能产业集群升级的机制与路径</w:t>
      </w:r>
    </w:p>
    <w:p w14:paraId="3803C17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佛山大规模设备更新中的行业供需匹配与政策风险防范</w:t>
      </w:r>
    </w:p>
    <w:p w14:paraId="276FC2E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佛山市半导体及集成电路产业差异化发展路径</w:t>
      </w:r>
    </w:p>
    <w:p w14:paraId="41A5BBD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佛山市半导体及集成电路产业人才引进与培育策略</w:t>
      </w:r>
    </w:p>
    <w:p w14:paraId="7A49D3C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佛山能源电子产业技术协同创新与标准支撑体系建设</w:t>
      </w:r>
    </w:p>
    <w:p w14:paraId="7E2BEF1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能源电力装备智造转型的“产学研用”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3"/>
      </w:r>
      <w:r>
        <w:rPr>
          <w:rFonts w:hint="eastAsia"/>
          <w:color w:val="auto"/>
          <w:sz w:val="24"/>
          <w:szCs w:val="24"/>
        </w:rPr>
        <w:t>融合机制与创新生态构建</w:t>
      </w:r>
    </w:p>
    <w:p w14:paraId="55D239D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绿色能源产业驱动佛山传统制造业转型的路径与策略</w:t>
      </w:r>
    </w:p>
    <w:p w14:paraId="0B039B9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市属国企牵引的产业公共服务平台载体建设与效能提升路径</w:t>
      </w:r>
    </w:p>
    <w:p w14:paraId="28370F2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佛山提升民间资本投资新兴产业</w:t>
      </w:r>
      <w:r>
        <w:rPr>
          <w:rFonts w:hint="eastAsia"/>
          <w:color w:val="auto"/>
          <w:sz w:val="24"/>
          <w:szCs w:val="24"/>
          <w:lang w:eastAsia="zh-CN"/>
        </w:rPr>
        <w:t>活力的</w:t>
      </w:r>
      <w:r>
        <w:rPr>
          <w:rFonts w:hint="eastAsia"/>
          <w:color w:val="auto"/>
          <w:sz w:val="24"/>
          <w:szCs w:val="24"/>
        </w:rPr>
        <w:t>路径与机制</w:t>
      </w:r>
    </w:p>
    <w:p w14:paraId="5C8E13F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如何利用人工智能促进高端仪器设备共享共用与效能提升</w:t>
      </w:r>
    </w:p>
    <w:p w14:paraId="00C8BB3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新型电力系统下佛山储能与输配电装备技术协同与生态构建</w:t>
      </w:r>
    </w:p>
    <w:p w14:paraId="30E6FDA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高可靠电网目标下佛山电力装备智能化升级与数字孪生赋能</w:t>
      </w:r>
    </w:p>
    <w:p w14:paraId="2836921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粤港澳大湾区新型电力系统建设与佛山装备跨区域协同</w:t>
      </w:r>
    </w:p>
    <w:p w14:paraId="46E35C9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如何整合提升</w:t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现有工业园区</w:t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分布与竞争力</w:t>
      </w:r>
    </w:p>
    <w:p w14:paraId="2188476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佛山参与粤港澳大湾区建设的差异化定位与突破</w:t>
      </w:r>
    </w:p>
    <w:p w14:paraId="65E5F3B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广佛全域同城化进程中产业协同布局优化路径</w:t>
      </w:r>
    </w:p>
    <w:p w14:paraId="53181CF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佛山新机场赋能“枢纽经济”对策研究</w:t>
      </w:r>
    </w:p>
    <w:p w14:paraId="16FE825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佛山制造业科技成果转化路径</w:t>
      </w:r>
    </w:p>
    <w:p w14:paraId="798296C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佛山“AI+制造”场景创新的成本效益测度与规模化推广路径</w:t>
      </w:r>
    </w:p>
    <w:p w14:paraId="0A6211F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佛山新型研发机构治理模式与绩效评估</w:t>
      </w:r>
    </w:p>
    <w:p w14:paraId="6DD5142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佛山“投贷担险”联动金融服务模式创新研究</w:t>
      </w:r>
    </w:p>
    <w:p w14:paraId="5E2746A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佛山城市综合数据平台构建与资产化应用</w:t>
      </w:r>
    </w:p>
    <w:p w14:paraId="5180594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佛山创新产品政府首购与保险补偿机制优化</w:t>
      </w:r>
    </w:p>
    <w:p w14:paraId="35418C2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如何促进佛山消费新业态培育</w:t>
      </w:r>
    </w:p>
    <w:p w14:paraId="753A17A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消费品以旧换新政策的效能评估与优化路径</w:t>
      </w:r>
    </w:p>
    <w:p w14:paraId="1F7D24C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佛山银发经济的实践与创新</w:t>
      </w:r>
    </w:p>
    <w:p w14:paraId="750D09C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佛山国有企业改革与战略性新兴产业发展联动路径</w:t>
      </w:r>
    </w:p>
    <w:p w14:paraId="4ADCF26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数据要素在佛山产业园区的确权、流通与价值实现路径</w:t>
      </w:r>
    </w:p>
    <w:p w14:paraId="6AAEDE6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佛山制造业“隐形冠军”企业代际传承困境与支持体系构建</w:t>
      </w:r>
    </w:p>
    <w:p w14:paraId="03A48BD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佛山现代农业“政产学研金”融合机制构建研究</w:t>
      </w:r>
    </w:p>
    <w:p w14:paraId="2F6684B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“绿美佛山”生态农产品价值实现的市场化路径</w:t>
      </w:r>
    </w:p>
    <w:p w14:paraId="600094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环两江先行区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4"/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乡村振兴片区组团培育路径</w:t>
      </w:r>
    </w:p>
    <w:p w14:paraId="578B22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“环两江先行区”规划协同机制与差异化发展路径</w:t>
      </w:r>
    </w:p>
    <w:p w14:paraId="6F9E917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佛山城乡协调发展中“提级管理”机制研究</w:t>
      </w:r>
    </w:p>
    <w:p w14:paraId="6FA9C87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佛山全域土地综合整治的实践困境与制度创新</w:t>
      </w:r>
    </w:p>
    <w:p w14:paraId="068052B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“城乡区域协调发展改革创新实验区”的佛山实践</w:t>
      </w:r>
    </w:p>
    <w:p w14:paraId="661266E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佛山典型镇村辐射带动效应研究</w:t>
      </w:r>
    </w:p>
    <w:p w14:paraId="5D06D7E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佛山村级集体经济的可持续发展路径研究</w:t>
      </w:r>
    </w:p>
    <w:p w14:paraId="7A66635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如何筹措佛山老旧小区适老化改造资金</w:t>
      </w:r>
    </w:p>
    <w:p w14:paraId="31ED8A2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佛山夜间经济“潮汐式”人流特征与弹性公共服务供给优化策略</w:t>
      </w:r>
    </w:p>
    <w:p w14:paraId="49CBCCC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如何以“清单管理”模式推进佛山公共服务精准供给</w:t>
      </w:r>
    </w:p>
    <w:p w14:paraId="56A501B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“六医融合”</w:t>
      </w:r>
      <w:r>
        <w:rPr>
          <w:rStyle w:val="9"/>
          <w:rFonts w:hint="eastAsia" w:eastAsia="宋体"/>
          <w:color w:val="auto"/>
          <w:sz w:val="24"/>
          <w:szCs w:val="24"/>
          <w:u w:val="none"/>
          <w:lang w:val="en-US" w:eastAsia="zh-CN"/>
        </w:rPr>
        <w:endnoteReference w:id="5"/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机制下佛山优质医疗资源下沉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的</w:t>
      </w: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成效与挑战</w:t>
      </w:r>
    </w:p>
    <w:p w14:paraId="55CDEBB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u w:val="none"/>
          <w:lang w:val="en-US" w:eastAsia="zh-CN"/>
        </w:rPr>
        <w:t>佛山房地产物业管理矛盾与对策</w:t>
      </w:r>
    </w:p>
    <w:p w14:paraId="7F26CC0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佛山基层社会治理中群团组织的功能创新与实践</w:t>
      </w:r>
    </w:p>
    <w:p w14:paraId="6A8B136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新型城乡社区建设试点实践研究</w:t>
      </w:r>
    </w:p>
    <w:p w14:paraId="0553ECD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社区嵌入式养老服务医技支撑能力建设</w:t>
      </w:r>
    </w:p>
    <w:p w14:paraId="3D097D5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“新佛山人”社会融入的社区支持网络与服务模式创新</w:t>
      </w:r>
    </w:p>
    <w:p w14:paraId="7370FAC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佛山市“功夫农品”区域公用品牌发展路径</w:t>
      </w:r>
    </w:p>
    <w:p w14:paraId="3857A3B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“文旅+”模式如何促进佛山古村落活态保护</w:t>
      </w:r>
    </w:p>
    <w:p w14:paraId="5505800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混合股权在乡村文旅开发中的创新与实践</w:t>
      </w:r>
    </w:p>
    <w:p w14:paraId="01D164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“佛山美食”品牌的标准化管理、授权机制与商户激励研究</w:t>
      </w:r>
    </w:p>
    <w:p w14:paraId="4867E53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佛山城市IP国际传播的叙事策略与效能评估</w:t>
      </w:r>
    </w:p>
    <w:p w14:paraId="3C75391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佛山体育文化的“赛事+社区+研学”多元活化体系构建</w:t>
      </w:r>
    </w:p>
    <w:p w14:paraId="74E915A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如何利用佛山古迹与角色扮演开发运营“微旅游”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产品</w:t>
      </w:r>
    </w:p>
    <w:p w14:paraId="245996F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佛山全域工业旅游的文旅消费转化路径研究</w:t>
      </w:r>
    </w:p>
    <w:p w14:paraId="1076079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“工业美学”视域下佛山城市形象新媒体传播路径研究</w:t>
      </w:r>
    </w:p>
    <w:p w14:paraId="2BD2845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佛山职业院校专业设置与产业人才需求的动态匹配研究</w:t>
      </w:r>
    </w:p>
    <w:p w14:paraId="0AA7B23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佛山如何构建终身学习教育体系</w:t>
      </w:r>
    </w:p>
    <w:p w14:paraId="7087B1B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人口结构变化对佛山城市公共服务体系的长效影响与政策响应</w:t>
      </w:r>
    </w:p>
    <w:p w14:paraId="391246D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u w:val="none"/>
          <w:lang w:val="en-US" w:eastAsia="zh-CN"/>
        </w:rPr>
        <w:t>中小学“春秋假”制度的实施评估与家校社协同机制优化</w:t>
      </w:r>
    </w:p>
    <w:sectPr>
      <w:footerReference r:id="rId4" w:type="default"/>
      <w:endnotePr>
        <w:numFmt w:val="decimal"/>
      </w:endnotePr>
      <w:pgSz w:w="11906" w:h="16838"/>
      <w:pgMar w:top="1383" w:right="866" w:bottom="1383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12">
    <w:p>
      <w:r>
        <w:separator/>
      </w:r>
    </w:p>
  </w:endnote>
  <w:endnote w:type="continuationSeparator" w:id="13">
    <w:p>
      <w:r>
        <w:continuationSeparator/>
      </w:r>
    </w:p>
  </w:endnote>
  <w:endnote w:id="0">
    <w:p w14:paraId="14969975">
      <w:pPr>
        <w:pStyle w:val="2"/>
        <w:snapToGrid w:val="0"/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“链主”企业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指产业链主导企业,一般是产业链中的龙头企业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1">
    <w:p w14:paraId="7C15D2D6"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专精特新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指企业具有专业化、精细化、特色化、新颖化的发展特征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2">
    <w:p w14:paraId="174327F3"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智改数转：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智能化改造数字化转型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3">
    <w:p w14:paraId="4A963B24">
      <w:pPr>
        <w:pStyle w:val="2"/>
        <w:snapToGrid w:val="0"/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产学研用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是以企业为主体、市场为导向，整合生产、学习、科学研究与实践应用的系统合作模式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。</w:t>
      </w:r>
    </w:p>
  </w:endnote>
  <w:endnote w:id="4">
    <w:p w14:paraId="6EE189B6"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环两江先行区：佛山市规划建设的城乡协调发展示范区，位于西江与北江交汇区域，涵盖12个镇街，旨在通过市级统筹和资源倾斜，打造绿色经济新高地、文旅目的地。</w:t>
      </w:r>
    </w:p>
  </w:endnote>
  <w:endnote w:id="5">
    <w:p w14:paraId="2820901A">
      <w:pPr>
        <w:pStyle w:val="2"/>
        <w:snapToGrid w:val="0"/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六医融合：以全生命周期为轴线，在医防、医育、医校、医企、医产、医养六大领域打破资源壁垒，将健康服务嵌入校园、企业、社区、养老院等关键场景。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2E3F268-BDE3-4C31-94A8-522CA0F09C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B5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CB3F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CB3F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E44F2"/>
    <w:multiLevelType w:val="singleLevel"/>
    <w:tmpl w:val="FB3E44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endnotePr>
    <w:numFmt w:val="decimal"/>
    <w:endnote w:id="12"/>
    <w:endnote w:id="13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239A"/>
    <w:rsid w:val="16F4C7C8"/>
    <w:rsid w:val="1FEF4567"/>
    <w:rsid w:val="27FF8E57"/>
    <w:rsid w:val="2AF9B018"/>
    <w:rsid w:val="2BEF721D"/>
    <w:rsid w:val="2E6F5A93"/>
    <w:rsid w:val="2EFCDC71"/>
    <w:rsid w:val="2F796A76"/>
    <w:rsid w:val="33FD5A38"/>
    <w:rsid w:val="3773C1B1"/>
    <w:rsid w:val="3AFE73DC"/>
    <w:rsid w:val="4DD1740F"/>
    <w:rsid w:val="557D98B2"/>
    <w:rsid w:val="574BBAAE"/>
    <w:rsid w:val="57F51983"/>
    <w:rsid w:val="5C9F1431"/>
    <w:rsid w:val="5DFF239A"/>
    <w:rsid w:val="5FBF6769"/>
    <w:rsid w:val="5FEFC902"/>
    <w:rsid w:val="5FFB0433"/>
    <w:rsid w:val="69D8E361"/>
    <w:rsid w:val="6AFB2AD0"/>
    <w:rsid w:val="6BFF5D5F"/>
    <w:rsid w:val="6F771E22"/>
    <w:rsid w:val="6FDE20EA"/>
    <w:rsid w:val="6FFDFAE6"/>
    <w:rsid w:val="71F405F6"/>
    <w:rsid w:val="776B4F4E"/>
    <w:rsid w:val="7C6146C7"/>
    <w:rsid w:val="7C6E76C9"/>
    <w:rsid w:val="7EFF77A5"/>
    <w:rsid w:val="7F928FA7"/>
    <w:rsid w:val="7FB3750F"/>
    <w:rsid w:val="7FF21CF4"/>
    <w:rsid w:val="8F5D453B"/>
    <w:rsid w:val="952FC020"/>
    <w:rsid w:val="B7FAB1BF"/>
    <w:rsid w:val="BBEF606D"/>
    <w:rsid w:val="BD6421C9"/>
    <w:rsid w:val="BDF79C8D"/>
    <w:rsid w:val="BEDD88EF"/>
    <w:rsid w:val="C1BF93E6"/>
    <w:rsid w:val="CAF3049A"/>
    <w:rsid w:val="D6DEEBFC"/>
    <w:rsid w:val="D9B8D952"/>
    <w:rsid w:val="DDFC08CB"/>
    <w:rsid w:val="DF6FF5C0"/>
    <w:rsid w:val="E7FB464F"/>
    <w:rsid w:val="E7FEE539"/>
    <w:rsid w:val="EABBEF88"/>
    <w:rsid w:val="EAF6DA40"/>
    <w:rsid w:val="EBEF1A35"/>
    <w:rsid w:val="EBF765C2"/>
    <w:rsid w:val="ECE54361"/>
    <w:rsid w:val="ECEE617A"/>
    <w:rsid w:val="EF7DB20B"/>
    <w:rsid w:val="F05FA063"/>
    <w:rsid w:val="F34FABD5"/>
    <w:rsid w:val="F4D377C7"/>
    <w:rsid w:val="F6EFAD12"/>
    <w:rsid w:val="F6EFF8E9"/>
    <w:rsid w:val="F7645970"/>
    <w:rsid w:val="F777FF41"/>
    <w:rsid w:val="F7BE9B1C"/>
    <w:rsid w:val="F7CFD763"/>
    <w:rsid w:val="FA75AAAB"/>
    <w:rsid w:val="FBFDD832"/>
    <w:rsid w:val="FCEF93D2"/>
    <w:rsid w:val="FDF512C4"/>
    <w:rsid w:val="FDFE43A9"/>
    <w:rsid w:val="FDFF81F8"/>
    <w:rsid w:val="FFFF6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ndnote reference"/>
    <w:basedOn w:val="7"/>
    <w:uiPriority w:val="0"/>
    <w:rPr>
      <w:vertAlign w:val="superscript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  <w:style w:type="character" w:styleId="12">
    <w:name w:val="footnote reference"/>
    <w:basedOn w:val="7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1518</Words>
  <Characters>1524</Characters>
  <Lines>0</Lines>
  <Paragraphs>0</Paragraphs>
  <TotalTime>65</TotalTime>
  <ScaleCrop>false</ScaleCrop>
  <LinksUpToDate>false</LinksUpToDate>
  <CharactersWithSpaces>1524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2024-03-04T23:48:00Z</dcterms:created>
  <dc:creator>thtf</dc:creator>
  <cp:lastModifiedBy>李思然</cp:lastModifiedBy>
  <cp:lastPrinted>2024-03-06T17:36:11Z</cp:lastPrinted>
  <dcterms:modified xsi:type="dcterms:W3CDTF">2026-03-16T10:10:10Z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D62C2AD09F774B44BDCE53A85625D018_13</vt:lpwstr>
  </property>
</Properties>
</file>