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64BA4">
      <w:pPr>
        <w:rPr>
          <w:rFonts w:hint="eastAsia"/>
        </w:rPr>
      </w:pPr>
    </w:p>
    <w:p w14:paraId="7A33524A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广州华立学院质量工程建设项目</w:t>
      </w:r>
    </w:p>
    <w:p w14:paraId="0610ABF9">
      <w:pPr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推荐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立项指南</w:t>
      </w:r>
    </w:p>
    <w:p w14:paraId="5773CF58">
      <w:pPr>
        <w:ind w:firstLine="420" w:firstLineChars="200"/>
        <w:rPr>
          <w:rFonts w:hint="eastAsia"/>
        </w:rPr>
      </w:pPr>
    </w:p>
    <w:p w14:paraId="079B507A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广州华立学院教学改革与质量工程建设项目类别按照《广东省普通本科高校“十四五”教学质量与教学改革工程建设实施方案》确定，在学校自主规划的基础上，优化项目建设布局，提高项目建设质量。项目具体类别如下：</w:t>
      </w:r>
    </w:p>
    <w:p w14:paraId="6C6B12D6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1.实验教学示范中心。</w:t>
      </w:r>
      <w:r>
        <w:rPr>
          <w:rFonts w:hint="eastAsia" w:ascii="宋体" w:hAnsi="宋体" w:eastAsia="宋体"/>
          <w:sz w:val="28"/>
          <w:szCs w:val="28"/>
        </w:rPr>
        <w:t>重点支持学科布点较少、实验体系全、教学效益高、共享范围广、学校投入大的示范中心；重点支持新建 (校区)实验教学示范中心，完善实验教学条件。实验教学示范中心负责人要求必须有正高级职称，中心教学队伍结构合理、人员充足，实验课程体系相对完备。依托中心，持续开展实验教学改革研究和实践，积极创新实验教学方式和管理机制，不断强化实验教学对理论教学的巩固支撑作用。鼓励和支持中心有条件对外开放共享，扩大优质实验教学资源的覆盖面和受益面。</w:t>
      </w:r>
    </w:p>
    <w:p w14:paraId="240718EF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2.校企联合实验室。</w:t>
      </w:r>
      <w:r>
        <w:rPr>
          <w:rFonts w:hint="eastAsia" w:ascii="宋体" w:hAnsi="宋体" w:eastAsia="宋体"/>
          <w:sz w:val="28"/>
          <w:szCs w:val="28"/>
        </w:rPr>
        <w:t>鼓励面向新兴产业，瞄准本校、本专业实验教学薄弱环节，积极引入外部资源，与企业、科研院所联合共建专业教学实验室，补齐专业实验教学短板。实验室采用校企共建共管方式运行，通过实验室组建校企联合实验教学团队，发挥企业(科研院所)重要教育主体作用。支持实验室师生团队参与企业课题研究(攻关),鼓励学生深入生产一线，在真实环境中开展实验学习。通过校企联合实验室建设，形成稳定长效的产教融合机制。</w:t>
      </w:r>
    </w:p>
    <w:p w14:paraId="3F544212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3.科产教融合实践教学基地。</w:t>
      </w:r>
      <w:r>
        <w:rPr>
          <w:rFonts w:hint="eastAsia" w:ascii="宋体" w:hAnsi="宋体" w:eastAsia="宋体"/>
          <w:sz w:val="28"/>
          <w:szCs w:val="28"/>
        </w:rPr>
        <w:t>鼓励学院与大中型企业、行业协会、产业园区、科研院所共建科产教融合实践教学基地，注重实践教学基地内涵建设，完善基地内部教学体系和激励制度，充分调动合作方积极性，吸引合作方深度参与基地实践教学，共同开发实践教学课程体系、共同制定实践教学方案、共同实施实践教学过程、共同评价实践教学成效、共同改进实践教学方式，形成基地实践教学与专业课堂教学互促互补的良好局面，通过基地构建校企合作协同育人的稳定机制，打造一支高水平“双师型”教师队伍。</w:t>
      </w:r>
    </w:p>
    <w:p w14:paraId="691D97E9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4.大学生社会实践教学基地。</w:t>
      </w:r>
      <w:r>
        <w:rPr>
          <w:rFonts w:hint="eastAsia" w:ascii="宋体" w:hAnsi="宋体" w:eastAsia="宋体"/>
          <w:sz w:val="28"/>
          <w:szCs w:val="28"/>
        </w:rPr>
        <w:t>支持学校、院系充分利用周边人文、历史、革命、自然、旅游、乡村等社会资源，联合地方政府、有关部门或其他高校，共建大学生社会实践教学基地，基地建设同时突出公益性与学术性，紧密结合专业人才培养需要，以实践课程及实践活动为主要教学手段，通过认知、体验、发现、探究、感悟等学习方式，帮助学生加深社会认识、关心社会发展，引导学生利用专业知识解决社会问题。通过基地建设，在专业教育得到强化的同时，推动实现德育、智育、美育、体育和劳动教育实践化，提升学生的创新精神、实践能力、社会责任感和就业能力。</w:t>
      </w:r>
    </w:p>
    <w:p w14:paraId="1EDD4BFA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5.课程教研室。</w:t>
      </w:r>
      <w:r>
        <w:rPr>
          <w:rFonts w:hint="eastAsia" w:ascii="宋体" w:hAnsi="宋体" w:eastAsia="宋体"/>
          <w:sz w:val="28"/>
          <w:szCs w:val="28"/>
        </w:rPr>
        <w:t>教研室负责人一般由教学名师或者专业骨干教师充任，负责人近3年主持省部级以上教学项目较多，具有较高的学术水平和较强的奉献精神，愿意全力投入教研室建设。教研室成员数量和结构合理，可持续发展趋势好。教研室依托课程或课程群组建，配有相对稳定的办公场所，制定了相对完善的管理运行制度，负责人与各成员分工明确、合作高效，教研室内部开展常态化的教学专题研讨、交流、观摩、协作等活动，实施教学帮扶、青年教师导师制和集体备课制度，在青年教师培养及师资梯队建设方面卓有成效。虚拟教研室要充分运用信息技术，探索突破时空限制、高效便捷、形式多样、“线上+线下”结合的教师教研模式，形成基层教学组织建设管理的新思路、新方法、新范式，充分调动教师的教学活力，厚植教师教学成长沃土。</w:t>
      </w:r>
    </w:p>
    <w:p w14:paraId="2AB87416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6.现代产业学院。</w:t>
      </w:r>
      <w:r>
        <w:rPr>
          <w:rFonts w:hint="eastAsia" w:ascii="宋体" w:hAnsi="宋体" w:eastAsia="宋体"/>
          <w:sz w:val="28"/>
          <w:szCs w:val="28"/>
        </w:rPr>
        <w:t>瞄准我省战略性“双十”产业集群发展需求，鼓励联合大中企业、地方政府、产业园区、科研院所等建设现代产业学院。充分尊重和发挥参建各方办学主体作用，形成共建共管、高效顺畅的组织架构。整合多主体创新要素和资源，以强化学生职业胜任力和持续发展能力为目标，以提高学生实践和创新能力为重点，创新人才培养方案、课程体系、方式方法、0保障机制等，持续促进产教深度融合合作。鼓励学院打破常规对人才招录方式、课程体系进行大胆革新，建设跨专业、跨学科的新型基本教学单位，引导行业企业深度参与教材编制和课程建设，设计课程体系、优化课程结构，加快课程教学内容迭代，促进课程内容与技术发展衔接、教学过程与生产过程对接。探索校企人才双向流动机制，设置灵活的人事制度，建立选聘行业协会、企业业务骨干、优秀技术和管理人才到校任教的有效路径。发挥学校人才与专业综合性优势，围绕产业技术创新关键问题开展协同创新，实现学校知识溢出直接服务区域经济社会发展。重点支持半导体和集成电路、工业软件、人工智能、智能制造、机器人、储能技术、物联网、网络安全、生物种业、海洋科学、现代农业等领域产业学院建设。</w:t>
      </w:r>
    </w:p>
    <w:p w14:paraId="014A47AA">
      <w:pPr>
        <w:ind w:firstLine="562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7.专项人才培养计划。</w:t>
      </w:r>
      <w:r>
        <w:rPr>
          <w:rFonts w:hint="eastAsia" w:ascii="宋体" w:hAnsi="宋体" w:eastAsia="宋体"/>
          <w:sz w:val="28"/>
          <w:szCs w:val="28"/>
        </w:rPr>
        <w:t>鼓励以特定学科、行业或产业复合型、应用型、创新型人才培养为主要导向，以专业或专业群为单位，通过实验班、创新班、特色班等载体开展专项人才培养计划。计划实施所依托的主要专业应为省级以上一流专业建设点，具有相对突出的办学优势，并积累了一定的教学成果。计划应瞄准国家和省重大发展战略，主动服务特定学科、科技或产业发展，更新人才培养逻辑，推进学科专业交叉融合，在培养模式、课程体系、教学内容、教学方法、考核评价等方面进行综合改革，积极引入外部优质资源，深化科教、产教融合，增强学生实践创新能力。通过计划实施，进一步彰显学校办学特色，提升学校社会服务能力。计划范围包括但不限于“六卓越一拔尖”人才培养计划，重点支持集成电路、软件、智能制造、生物育种、海洋技术、新材料、新能源、公共卫生、中医药、涉外法治、海洋牧场、数字经济、网络安全、乡村振兴等领域人才培养计划。</w:t>
      </w:r>
    </w:p>
    <w:p w14:paraId="3B9EE9C5">
      <w:pPr>
        <w:ind w:firstLine="562" w:firstLineChars="200"/>
        <w:rPr>
          <w:rFonts w:hint="default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8.高等教育教学改革项目重点项目另见附件2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sDA0tjAzsDSyMDc2MDNQ0lEKTi0uzszPAykwqgUAwTm3DSwAAAA="/>
  </w:docVars>
  <w:rsids>
    <w:rsidRoot w:val="007A3BE3"/>
    <w:rsid w:val="00025BF6"/>
    <w:rsid w:val="00026665"/>
    <w:rsid w:val="00200CA1"/>
    <w:rsid w:val="00240C79"/>
    <w:rsid w:val="002E781C"/>
    <w:rsid w:val="002F16B8"/>
    <w:rsid w:val="00374D55"/>
    <w:rsid w:val="004107A9"/>
    <w:rsid w:val="00422531"/>
    <w:rsid w:val="00445E7F"/>
    <w:rsid w:val="007A3BE3"/>
    <w:rsid w:val="00815B6C"/>
    <w:rsid w:val="00956402"/>
    <w:rsid w:val="009E0FF5"/>
    <w:rsid w:val="00A7147F"/>
    <w:rsid w:val="00A84324"/>
    <w:rsid w:val="00BC55A6"/>
    <w:rsid w:val="00E3395A"/>
    <w:rsid w:val="00EC75B2"/>
    <w:rsid w:val="00F155C4"/>
    <w:rsid w:val="00FA2E23"/>
    <w:rsid w:val="00FA554F"/>
    <w:rsid w:val="037F52F1"/>
    <w:rsid w:val="1BF5598D"/>
    <w:rsid w:val="4AFE3C4A"/>
    <w:rsid w:val="757138C5"/>
    <w:rsid w:val="7BA3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2490</Words>
  <Characters>2499</Characters>
  <Lines>17</Lines>
  <Paragraphs>5</Paragraphs>
  <TotalTime>25</TotalTime>
  <ScaleCrop>false</ScaleCrop>
  <LinksUpToDate>false</LinksUpToDate>
  <CharactersWithSpaces>2500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2025-04-03T07:23:00Z</dcterms:created>
  <dc:creator>Administrator</dc:creator>
  <cp:lastModifiedBy>扑腾扑腾</cp:lastModifiedBy>
  <dcterms:modified xsi:type="dcterms:W3CDTF">2026-10-29T10:16:41Z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eyJoZGlkIjoiODIzMDJkY2VkM2YwZDA5ZDU3YmM0MDVkMmI5Y2E3OGQiLCJ1c2VySWQiOiIxMzAxMDkzNzE4In0=</vt:lpwstr>
  </property>
  <property fmtid="{D5CDD505-2E9C-101B-9397-08002B2CF9AE}" pid="3" name="KSOProductBuildVer">
    <vt:lpwstr>2052-12.1.0.21915</vt:lpwstr>
  </property>
  <property fmtid="{D5CDD505-2E9C-101B-9397-08002B2CF9AE}" pid="4" name="ICV">
    <vt:lpwstr>933AC07980A8440986441E2223E6C720_12</vt:lpwstr>
  </property>
</Properties>
</file>