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广东省高等教育教学改革项目验收指标（试行）</w:t>
      </w:r>
    </w:p>
    <w:tbl>
      <w:tblPr>
        <w:tblStyle w:val="2"/>
        <w:tblW w:w="14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268"/>
        <w:gridCol w:w="10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250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一级指标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二级指标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指标内涵说明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25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基本情况（10分）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建设任务完成情况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基本完成了申报时预设的各项建设目标。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建设思路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建设思路清晰，优势和特色显著。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500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项目团队基础（10分）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项目团队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项目负责人学术水平较高且具体主持该项目，项目团队职称、学历及学科背景结构合理，团队各成员间分工协作良好。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项目实施及建设情况（35分）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建设实施情况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项目按照既定实施方案进行建设，对于各阶段建设任务及完成情况都有清晰阐述。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改革举措落实情况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项目申报时预设的各项改革举措如期实施，计划解决的问题已如期得到解决。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保障和支持情况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项目实施过程中得到了学校充足的经费保障和政策支持，能够调动项目需要的研究资源和设备。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2500" w:type="dxa"/>
            <w:vMerge w:val="restart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建设成果和应用推广（35分）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建设成果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项目选题和建设成果具有理论和现实意义，对推动我省相关领域教学改革和教学水平提高具有促进作用；项目成果新颖，水平层次较高，有具体的实践成果。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实践应用情况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项目建设成果消化、吸收、应用和整合、集成、深化已有教学改革成果，具有较高的应用推广价值并在本校教学实践中得到有效应用，解决了本学校或本专业教学实践过程中的困难和问题。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500" w:type="dxa"/>
            <w:vMerge w:val="continue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共享和推广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项目成果受益面广，已在本校相关专业或同类院校中得到应用和推广，或项目建设成果已其他单位完整采纳。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500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项目特色（10分）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项目水平与特色</w:t>
            </w:r>
          </w:p>
        </w:tc>
        <w:tc>
          <w:tcPr>
            <w:tcW w:w="10038" w:type="dxa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项目在专业与课程建设、教材、教学软件等教学基本建设、教学管理运行机制、教学方法改革、人才培养及教学质量保障机制等方面具有的较高水平，具有自身特色。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5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2022-02-24T02:34:34Z</dcterms:created>
  <dc:creator>amanie999</dc:creator>
  <cp:lastModifiedBy>老大是我</cp:lastModifiedBy>
  <dcterms:modified xsi:type="dcterms:W3CDTF">2022-02-24T02:34:56Z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63AE56EDFD40401DB91516FC61B66338</vt:lpwstr>
  </property>
</Properties>
</file>