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65" w:lineRule="atLeas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</w:t>
      </w:r>
    </w:p>
    <w:p>
      <w:pPr>
        <w:shd w:val="clear" w:color="auto" w:fill="FFFFFF"/>
        <w:spacing w:line="465" w:lineRule="atLeast"/>
        <w:ind w:firstLine="555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第四届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高校教师教学创新大赛</w:t>
      </w:r>
    </w:p>
    <w:p>
      <w:pPr>
        <w:shd w:val="clear" w:color="auto" w:fill="FFFFFF"/>
        <w:spacing w:line="465" w:lineRule="atLeast"/>
        <w:ind w:firstLine="555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校内选拔赛实施方案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color w:val="auto"/>
          <w:sz w:val="36"/>
          <w:szCs w:val="24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line="360" w:lineRule="auto"/>
        <w:ind w:left="560" w:leftChars="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  <w:lang w:val="en-US" w:eastAsia="zh-CN"/>
        </w:rPr>
        <w:t>一、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参赛条件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（一）以一门进入</w:t>
      </w:r>
      <w:r>
        <w:rPr>
          <w:rFonts w:ascii="仿宋" w:hAnsi="仿宋" w:eastAsia="仿宋" w:cs="Times New Roman"/>
          <w:color w:val="auto"/>
          <w:sz w:val="28"/>
          <w:szCs w:val="21"/>
        </w:rPr>
        <w:t>培养方案的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本科层次课程</w:t>
      </w:r>
      <w:r>
        <w:rPr>
          <w:rFonts w:ascii="仿宋" w:hAnsi="仿宋" w:eastAsia="仿宋" w:cs="Times New Roman"/>
          <w:color w:val="auto"/>
          <w:sz w:val="28"/>
          <w:szCs w:val="21"/>
        </w:rPr>
        <w:t>参赛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，参赛</w:t>
      </w:r>
      <w:r>
        <w:rPr>
          <w:rFonts w:ascii="仿宋" w:hAnsi="仿宋" w:eastAsia="仿宋" w:cs="Times New Roman"/>
          <w:color w:val="auto"/>
          <w:sz w:val="28"/>
          <w:szCs w:val="21"/>
        </w:rPr>
        <w:t>教师须是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我校</w:t>
      </w:r>
      <w:r>
        <w:rPr>
          <w:rFonts w:ascii="仿宋" w:hAnsi="仿宋" w:eastAsia="仿宋" w:cs="Times New Roman"/>
          <w:color w:val="auto"/>
          <w:sz w:val="28"/>
          <w:szCs w:val="21"/>
        </w:rPr>
        <w:t>在职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在岗</w:t>
      </w:r>
      <w:r>
        <w:rPr>
          <w:rFonts w:ascii="仿宋" w:hAnsi="仿宋" w:eastAsia="仿宋" w:cs="Times New Roman"/>
          <w:color w:val="auto"/>
          <w:sz w:val="28"/>
          <w:szCs w:val="21"/>
        </w:rPr>
        <w:t>教师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，近5年来无</w:t>
      </w:r>
      <w:r>
        <w:rPr>
          <w:rFonts w:ascii="仿宋" w:hAnsi="仿宋" w:eastAsia="仿宋" w:cs="Times New Roman"/>
          <w:color w:val="auto"/>
          <w:sz w:val="28"/>
          <w:szCs w:val="21"/>
        </w:rPr>
        <w:t>教学事故或其他处分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（二）以个人或团队形式参赛。若以团队形式参赛，团队成员包括</w:t>
      </w:r>
      <w:r>
        <w:rPr>
          <w:rFonts w:ascii="仿宋" w:hAnsi="仿宋" w:eastAsia="仿宋" w:cs="Times New Roman"/>
          <w:color w:val="auto"/>
          <w:sz w:val="28"/>
          <w:szCs w:val="21"/>
        </w:rPr>
        <w:t>1名主讲教师和不超过3名团队教师。截至本学期末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，主讲教师近</w:t>
      </w:r>
      <w:r>
        <w:rPr>
          <w:rFonts w:ascii="仿宋" w:hAnsi="仿宋" w:eastAsia="仿宋" w:cs="Times New Roman"/>
          <w:color w:val="auto"/>
          <w:sz w:val="28"/>
          <w:szCs w:val="21"/>
        </w:rPr>
        <w:t>5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年对所参赛的本科课程讲授2轮及以上。教师可同时作为1门课程的主讲教师和另1门课程的团队成员参赛，但不能同时作为两门课程的团队成员参赛。</w:t>
      </w:r>
    </w:p>
    <w:p>
      <w:pPr>
        <w:adjustRightInd w:val="0"/>
        <w:snapToGrid w:val="0"/>
        <w:spacing w:line="360" w:lineRule="auto"/>
        <w:ind w:firstLine="280" w:firstLineChars="1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（三）以团队形式参赛时，主讲教师和团队</w:t>
      </w:r>
      <w:r>
        <w:rPr>
          <w:rFonts w:ascii="仿宋" w:hAnsi="仿宋" w:eastAsia="仿宋" w:cs="Times New Roman"/>
          <w:color w:val="auto"/>
          <w:sz w:val="28"/>
          <w:szCs w:val="21"/>
        </w:rPr>
        <w:t>成员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须以参赛课程为纽带，与</w:t>
      </w:r>
      <w:r>
        <w:rPr>
          <w:rFonts w:ascii="仿宋" w:hAnsi="仿宋" w:eastAsia="仿宋" w:cs="Times New Roman"/>
          <w:color w:val="auto"/>
          <w:sz w:val="28"/>
          <w:szCs w:val="21"/>
        </w:rPr>
        <w:t>参赛课程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有实质性联系</w:t>
      </w:r>
      <w:r>
        <w:rPr>
          <w:rFonts w:ascii="仿宋" w:hAnsi="仿宋" w:eastAsia="仿宋" w:cs="Times New Roman"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并对参赛课程建设和教学创新有一定的贡献；同时，主讲教师应有较高的课堂教学水平。</w:t>
      </w:r>
    </w:p>
    <w:p>
      <w:pPr>
        <w:adjustRightInd w:val="0"/>
        <w:snapToGrid w:val="0"/>
        <w:spacing w:line="360" w:lineRule="auto"/>
        <w:ind w:firstLine="280" w:firstLineChars="1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）参赛材料如弄虚作假或涉及知识产权纠纷，实行一票否决制。</w:t>
      </w:r>
    </w:p>
    <w:p>
      <w:pPr>
        <w:adjustRightInd w:val="0"/>
        <w:snapToGrid w:val="0"/>
        <w:spacing w:line="360" w:lineRule="auto"/>
        <w:ind w:left="560"/>
        <w:rPr>
          <w:rFonts w:hint="eastAsia"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以上参赛条件参照</w:t>
      </w:r>
      <w:r>
        <w:rPr>
          <w:rFonts w:ascii="仿宋" w:hAnsi="仿宋" w:eastAsia="仿宋" w:cs="Times New Roman"/>
          <w:color w:val="auto"/>
          <w:sz w:val="28"/>
          <w:szCs w:val="21"/>
        </w:rPr>
        <w:t>第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三届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广东省</w:t>
      </w:r>
      <w:r>
        <w:rPr>
          <w:rFonts w:ascii="仿宋" w:hAnsi="仿宋" w:eastAsia="仿宋" w:cs="Times New Roman"/>
          <w:color w:val="auto"/>
          <w:sz w:val="28"/>
          <w:szCs w:val="21"/>
        </w:rPr>
        <w:t>高校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教师</w:t>
      </w:r>
      <w:r>
        <w:rPr>
          <w:rFonts w:ascii="仿宋" w:hAnsi="仿宋" w:eastAsia="仿宋" w:cs="Times New Roman"/>
          <w:color w:val="auto"/>
          <w:sz w:val="28"/>
          <w:szCs w:val="21"/>
        </w:rPr>
        <w:t>教学创新大赛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确定</w:t>
      </w:r>
      <w:r>
        <w:rPr>
          <w:rFonts w:ascii="仿宋" w:hAnsi="仿宋" w:eastAsia="仿宋" w:cs="Times New Roman"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如与第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四届广东省赛赛制不同，由学校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教师发展中心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决定如何与其对接选拔</w:t>
      </w:r>
      <w:r>
        <w:rPr>
          <w:rFonts w:ascii="仿宋" w:hAnsi="仿宋" w:eastAsia="仿宋" w:cs="Times New Roman"/>
          <w:color w:val="auto"/>
          <w:sz w:val="28"/>
          <w:szCs w:val="21"/>
        </w:rPr>
        <w:t>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推荐选手参加广东省比赛工作。</w:t>
      </w:r>
      <w:r>
        <w:rPr>
          <w:rFonts w:ascii="仿宋" w:hAnsi="仿宋" w:eastAsia="仿宋" w:cs="Times New Roman"/>
          <w:color w:val="auto"/>
          <w:sz w:val="28"/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703" w:firstLineChars="25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二、赛事组织</w:t>
      </w:r>
      <w:r>
        <w:rPr>
          <w:rFonts w:ascii="仿宋" w:hAnsi="仿宋" w:eastAsia="仿宋" w:cs="Times New Roman"/>
          <w:b/>
          <w:bCs/>
          <w:color w:val="auto"/>
          <w:sz w:val="28"/>
          <w:szCs w:val="21"/>
        </w:rPr>
        <w:t>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（一）赛事</w:t>
      </w:r>
      <w:r>
        <w:rPr>
          <w:rFonts w:ascii="仿宋" w:hAnsi="仿宋" w:eastAsia="仿宋" w:cs="Times New Roman"/>
          <w:color w:val="auto"/>
          <w:sz w:val="28"/>
          <w:szCs w:val="21"/>
        </w:rPr>
        <w:t>阶段及要求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分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为二级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学院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校区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遴选推荐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学</w:t>
      </w:r>
      <w:r>
        <w:rPr>
          <w:rFonts w:ascii="仿宋" w:hAnsi="仿宋" w:eastAsia="仿宋" w:cs="Times New Roman"/>
          <w:color w:val="auto"/>
          <w:sz w:val="28"/>
          <w:szCs w:val="21"/>
        </w:rPr>
        <w:t>校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决</w:t>
      </w:r>
      <w:r>
        <w:rPr>
          <w:rFonts w:ascii="仿宋" w:hAnsi="仿宋" w:eastAsia="仿宋" w:cs="Times New Roman"/>
          <w:color w:val="auto"/>
          <w:sz w:val="28"/>
          <w:szCs w:val="21"/>
        </w:rPr>
        <w:t>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两个</w:t>
      </w:r>
      <w:r>
        <w:rPr>
          <w:rFonts w:ascii="仿宋" w:hAnsi="仿宋" w:eastAsia="仿宋" w:cs="Times New Roman"/>
          <w:color w:val="auto"/>
          <w:sz w:val="28"/>
          <w:szCs w:val="21"/>
        </w:rPr>
        <w:t>阶段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所有</w:t>
      </w:r>
      <w:r>
        <w:rPr>
          <w:rFonts w:ascii="仿宋" w:hAnsi="仿宋" w:eastAsia="仿宋" w:cs="Times New Roman"/>
          <w:color w:val="auto"/>
          <w:sz w:val="28"/>
          <w:szCs w:val="21"/>
        </w:rPr>
        <w:t>本科教学单位均须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组织开展遴选推荐。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江门</w:t>
      </w:r>
      <w:r>
        <w:rPr>
          <w:rFonts w:ascii="仿宋" w:hAnsi="仿宋" w:eastAsia="仿宋" w:cs="Times New Roman"/>
          <w:color w:val="auto"/>
          <w:sz w:val="28"/>
          <w:szCs w:val="21"/>
        </w:rPr>
        <w:t>校区以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校区或</w:t>
      </w:r>
      <w:r>
        <w:rPr>
          <w:rFonts w:ascii="仿宋" w:hAnsi="仿宋" w:eastAsia="仿宋" w:cs="Times New Roman"/>
          <w:color w:val="auto"/>
          <w:sz w:val="28"/>
          <w:szCs w:val="21"/>
        </w:rPr>
        <w:t>以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学院</w:t>
      </w:r>
      <w:r>
        <w:rPr>
          <w:rFonts w:ascii="仿宋" w:hAnsi="仿宋" w:eastAsia="仿宋" w:cs="Times New Roman"/>
          <w:color w:val="auto"/>
          <w:sz w:val="28"/>
          <w:szCs w:val="21"/>
        </w:rPr>
        <w:t>为单位组织，由校区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自定</w:t>
      </w:r>
      <w:r>
        <w:rPr>
          <w:rFonts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各二级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学院推荐参加学校</w:t>
      </w:r>
      <w:r>
        <w:rPr>
          <w:rFonts w:ascii="仿宋" w:hAnsi="仿宋" w:eastAsia="仿宋" w:cs="Times New Roman"/>
          <w:color w:val="auto"/>
          <w:sz w:val="28"/>
          <w:szCs w:val="21"/>
          <w:highlight w:val="none"/>
        </w:rPr>
        <w:t>决赛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的课程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不少于3门，主讲教师应包括正高、副高和中级及以下三类职称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（二）慎重</w:t>
      </w:r>
      <w:r>
        <w:rPr>
          <w:rFonts w:ascii="仿宋" w:hAnsi="仿宋" w:eastAsia="仿宋" w:cs="Times New Roman"/>
          <w:color w:val="auto"/>
          <w:sz w:val="28"/>
          <w:szCs w:val="21"/>
        </w:rPr>
        <w:t>确定团队成员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请</w:t>
      </w:r>
      <w:r>
        <w:rPr>
          <w:rFonts w:ascii="仿宋" w:hAnsi="仿宋" w:eastAsia="仿宋" w:cs="Times New Roman"/>
          <w:color w:val="auto"/>
          <w:sz w:val="28"/>
          <w:szCs w:val="21"/>
        </w:rPr>
        <w:t>各参赛团队高度重视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团队</w:t>
      </w:r>
      <w:r>
        <w:rPr>
          <w:rFonts w:ascii="仿宋" w:hAnsi="仿宋" w:eastAsia="仿宋" w:cs="Times New Roman"/>
          <w:color w:val="auto"/>
          <w:sz w:val="28"/>
          <w:szCs w:val="21"/>
        </w:rPr>
        <w:t>构成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，对照参赛</w:t>
      </w:r>
      <w:r>
        <w:rPr>
          <w:rFonts w:ascii="仿宋" w:hAnsi="仿宋" w:eastAsia="仿宋" w:cs="Times New Roman"/>
          <w:color w:val="auto"/>
          <w:sz w:val="28"/>
          <w:szCs w:val="21"/>
        </w:rPr>
        <w:t>条件、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比赛</w:t>
      </w:r>
      <w:r>
        <w:rPr>
          <w:rFonts w:ascii="仿宋" w:hAnsi="仿宋" w:eastAsia="仿宋" w:cs="Times New Roman"/>
          <w:color w:val="auto"/>
          <w:sz w:val="28"/>
          <w:szCs w:val="21"/>
        </w:rPr>
        <w:t>内容和评价指标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，慎重挑选</w:t>
      </w:r>
      <w:r>
        <w:rPr>
          <w:rFonts w:ascii="仿宋" w:hAnsi="仿宋" w:eastAsia="仿宋" w:cs="Times New Roman"/>
          <w:color w:val="auto"/>
          <w:sz w:val="28"/>
          <w:szCs w:val="21"/>
        </w:rPr>
        <w:t>主讲教师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及课程教学团队成员。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1.主讲教师</w:t>
      </w:r>
      <w:r>
        <w:rPr>
          <w:rFonts w:ascii="仿宋" w:hAnsi="仿宋" w:eastAsia="仿宋" w:cs="Times New Roman"/>
          <w:color w:val="auto"/>
          <w:sz w:val="28"/>
          <w:szCs w:val="21"/>
        </w:rPr>
        <w:t>和团队成员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应以参赛课程为纽带，与课程建设、课程教学改革有实质性联系，</w:t>
      </w:r>
      <w:r>
        <w:rPr>
          <w:rFonts w:ascii="仿宋" w:hAnsi="仿宋" w:eastAsia="仿宋" w:cs="Times New Roman"/>
          <w:color w:val="auto"/>
          <w:sz w:val="28"/>
          <w:szCs w:val="21"/>
        </w:rPr>
        <w:t>都应对参赛课程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的</w:t>
      </w:r>
      <w:r>
        <w:rPr>
          <w:rFonts w:ascii="仿宋" w:hAnsi="仿宋" w:eastAsia="仿宋" w:cs="Times New Roman"/>
          <w:color w:val="auto"/>
          <w:sz w:val="28"/>
          <w:szCs w:val="21"/>
        </w:rPr>
        <w:t>建设和教学创新有一定的贡献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ascii="仿宋" w:hAnsi="仿宋" w:eastAsia="仿宋" w:cs="Times New Roman"/>
          <w:color w:val="auto"/>
          <w:sz w:val="28"/>
          <w:szCs w:val="21"/>
        </w:rPr>
        <w:t>2.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择优推荐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ascii="仿宋" w:hAnsi="仿宋" w:eastAsia="仿宋" w:cs="Times New Roman"/>
          <w:color w:val="auto"/>
          <w:sz w:val="28"/>
          <w:szCs w:val="21"/>
        </w:rPr>
        <w:t>竞赛侧重参赛课程的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教学创新</w:t>
      </w:r>
      <w:r>
        <w:rPr>
          <w:rFonts w:ascii="仿宋" w:hAnsi="仿宋" w:eastAsia="仿宋" w:cs="Times New Roman"/>
          <w:color w:val="auto"/>
          <w:sz w:val="28"/>
          <w:szCs w:val="21"/>
        </w:rPr>
        <w:t>。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应择优推荐教学理念及思路明确、创新方法及途径清晰、创新成效显著、课堂教学综合能力强、有教学类建设立项或奖励、发表教研论文较多、人才培养成效显著等的教师（团队）。同时，主讲教师应有较高的课堂教学水平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教学类奖励及建设立项应与参赛课程相关，包括：教学成果奖、一流本科课程、教学名师、教学竞赛获奖、规划教材，线上线下混合课程、在线开放课程、虚拟仿真实验教学项目等线上教学资源，教学技术类奖励和项目，教改项目，人才培养成果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3.经</w:t>
      </w:r>
      <w:r>
        <w:rPr>
          <w:rFonts w:ascii="仿宋" w:hAnsi="仿宋" w:eastAsia="仿宋" w:cs="Times New Roman"/>
          <w:color w:val="auto"/>
          <w:sz w:val="28"/>
          <w:szCs w:val="21"/>
        </w:rPr>
        <w:t>校内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选拔推荐</w:t>
      </w:r>
      <w:r>
        <w:rPr>
          <w:rFonts w:ascii="仿宋" w:hAnsi="仿宋" w:eastAsia="仿宋" w:cs="Times New Roman"/>
          <w:color w:val="auto"/>
          <w:sz w:val="28"/>
          <w:szCs w:val="21"/>
        </w:rPr>
        <w:t>参加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广东省</w:t>
      </w:r>
      <w:r>
        <w:rPr>
          <w:rFonts w:ascii="仿宋" w:hAnsi="仿宋" w:eastAsia="仿宋" w:cs="Times New Roman"/>
          <w:color w:val="auto"/>
          <w:sz w:val="28"/>
          <w:szCs w:val="21"/>
        </w:rPr>
        <w:t>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的课程教学团队</w:t>
      </w:r>
      <w:r>
        <w:rPr>
          <w:rFonts w:ascii="仿宋" w:hAnsi="仿宋" w:eastAsia="仿宋" w:cs="Times New Roman"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课程名称</w:t>
      </w:r>
      <w:r>
        <w:rPr>
          <w:rFonts w:ascii="仿宋" w:hAnsi="仿宋" w:eastAsia="仿宋" w:cs="Times New Roman"/>
          <w:color w:val="auto"/>
          <w:sz w:val="28"/>
          <w:szCs w:val="21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主讲教师不能变更，团队</w:t>
      </w:r>
      <w:r>
        <w:rPr>
          <w:rFonts w:ascii="仿宋" w:hAnsi="仿宋" w:eastAsia="仿宋" w:cs="Times New Roman"/>
          <w:color w:val="auto"/>
          <w:sz w:val="28"/>
          <w:szCs w:val="21"/>
        </w:rPr>
        <w:t>成员不能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更换、</w:t>
      </w:r>
      <w:r>
        <w:rPr>
          <w:rFonts w:ascii="仿宋" w:hAnsi="仿宋" w:eastAsia="仿宋" w:cs="Times New Roman"/>
          <w:color w:val="auto"/>
          <w:sz w:val="28"/>
          <w:szCs w:val="21"/>
        </w:rPr>
        <w:t>只能减少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不能</w:t>
      </w:r>
      <w:r>
        <w:rPr>
          <w:rFonts w:ascii="仿宋" w:hAnsi="仿宋" w:eastAsia="仿宋" w:cs="Times New Roman"/>
          <w:color w:val="auto"/>
          <w:sz w:val="28"/>
          <w:szCs w:val="21"/>
        </w:rPr>
        <w:t>增加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5" w:firstLineChars="201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ascii="仿宋" w:hAnsi="仿宋" w:eastAsia="仿宋" w:cs="Times New Roman"/>
          <w:b/>
          <w:bCs/>
          <w:color w:val="auto"/>
          <w:sz w:val="28"/>
          <w:szCs w:val="21"/>
        </w:rPr>
        <w:t>三、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赛制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（一）分组</w:t>
      </w:r>
      <w:r>
        <w:rPr>
          <w:rFonts w:ascii="仿宋" w:hAnsi="仿宋" w:eastAsia="仿宋" w:cs="Times New Roman"/>
          <w:color w:val="auto"/>
          <w:sz w:val="28"/>
          <w:szCs w:val="21"/>
        </w:rPr>
        <w:t>竞赛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为便于组织，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学校决赛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按参赛主讲教师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职称（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正高、副高和中级及以下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）分三个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组别进行比赛。在此基础上，推荐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参加广东省赛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人选时，综合考虑对接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赛的组别结构、主讲教师职称结构等。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（二）竞赛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语言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 xml:space="preserve"> 除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外语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类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专业可用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中文、外语双语外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原则上，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其他专业（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包括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全英语教学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的非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外语类专业）</w:t>
      </w:r>
      <w:r>
        <w:rPr>
          <w:rFonts w:hint="eastAsia" w:ascii="仿宋" w:hAnsi="仿宋" w:eastAsia="仿宋" w:cs="Times New Roman"/>
          <w:bCs/>
          <w:color w:val="auto"/>
          <w:sz w:val="28"/>
          <w:szCs w:val="21"/>
        </w:rPr>
        <w:t>提交的</w:t>
      </w:r>
      <w:r>
        <w:rPr>
          <w:rFonts w:ascii="仿宋" w:hAnsi="仿宋" w:eastAsia="仿宋" w:cs="Times New Roman"/>
          <w:bCs/>
          <w:color w:val="auto"/>
          <w:sz w:val="28"/>
          <w:szCs w:val="21"/>
        </w:rPr>
        <w:t>参赛材料和授课语言均用中文。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（三）学校</w:t>
      </w:r>
      <w:r>
        <w:rPr>
          <w:rFonts w:ascii="仿宋" w:hAnsi="仿宋" w:eastAsia="仿宋" w:cs="Times New Roman"/>
          <w:color w:val="auto"/>
          <w:sz w:val="28"/>
          <w:szCs w:val="21"/>
        </w:rPr>
        <w:t>决赛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环节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1.</w:t>
      </w:r>
      <w:r>
        <w:rPr>
          <w:rFonts w:ascii="仿宋" w:hAnsi="仿宋" w:eastAsia="仿宋" w:cs="Times New Roman"/>
          <w:color w:val="auto"/>
          <w:sz w:val="28"/>
          <w:szCs w:val="21"/>
        </w:rPr>
        <w:t>分两个环节进行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第一环节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为材料评审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第二环节为2</w:t>
      </w:r>
      <w:r>
        <w:rPr>
          <w:rFonts w:ascii="仿宋" w:hAnsi="仿宋" w:eastAsia="仿宋" w:cs="Times New Roman"/>
          <w:color w:val="auto"/>
          <w:sz w:val="28"/>
          <w:szCs w:val="21"/>
        </w:rPr>
        <w:t>0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分钟的现场讲课评审，通过第一环节遴选的教师，将进入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第二环节选拔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进入第二环节</w:t>
      </w:r>
      <w:r>
        <w:rPr>
          <w:rFonts w:ascii="仿宋" w:hAnsi="仿宋" w:eastAsia="仿宋" w:cs="Times New Roman"/>
          <w:color w:val="auto"/>
          <w:sz w:val="28"/>
          <w:szCs w:val="21"/>
        </w:rPr>
        <w:t>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具体课程数实行</w:t>
      </w:r>
      <w:r>
        <w:rPr>
          <w:rFonts w:ascii="仿宋" w:hAnsi="仿宋" w:eastAsia="仿宋" w:cs="Times New Roman"/>
          <w:color w:val="auto"/>
          <w:sz w:val="28"/>
          <w:szCs w:val="21"/>
        </w:rPr>
        <w:t>限额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，将视广东省第四届教师教学创新大赛分配推荐指标决定，原则上</w:t>
      </w:r>
      <w:r>
        <w:rPr>
          <w:rFonts w:ascii="仿宋" w:hAnsi="仿宋" w:eastAsia="仿宋" w:cs="Times New Roman"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入围第二环节</w:t>
      </w:r>
      <w:r>
        <w:rPr>
          <w:rFonts w:ascii="仿宋" w:hAnsi="仿宋" w:eastAsia="仿宋" w:cs="Times New Roman"/>
          <w:color w:val="auto"/>
          <w:sz w:val="28"/>
          <w:szCs w:val="21"/>
        </w:rPr>
        <w:t>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人数不低于广东省赛通知可推荐人数的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倍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2</w:t>
      </w:r>
      <w:r>
        <w:rPr>
          <w:rFonts w:ascii="仿宋" w:hAnsi="仿宋" w:eastAsia="仿宋" w:cs="Times New Roman"/>
          <w:color w:val="auto"/>
          <w:sz w:val="28"/>
          <w:szCs w:val="21"/>
        </w:rPr>
        <w:t>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第一个环节：材料评审，百分制，占总成绩</w:t>
      </w:r>
      <w:r>
        <w:rPr>
          <w:rFonts w:ascii="仿宋" w:hAnsi="仿宋" w:eastAsia="仿宋" w:cs="Times New Roman"/>
          <w:color w:val="auto"/>
          <w:sz w:val="28"/>
          <w:szCs w:val="21"/>
        </w:rPr>
        <w:t>60%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 xml:space="preserve">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采用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分组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会评</w:t>
      </w:r>
      <w:r>
        <w:rPr>
          <w:rFonts w:ascii="仿宋" w:hAnsi="仿宋" w:eastAsia="仿宋" w:cs="Times New Roman"/>
          <w:color w:val="auto"/>
          <w:sz w:val="28"/>
          <w:szCs w:val="21"/>
        </w:rPr>
        <w:t>形式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。材料评审内容为教学创新成果概况表</w:t>
      </w:r>
      <w:r>
        <w:rPr>
          <w:rFonts w:ascii="仿宋" w:hAnsi="仿宋" w:eastAsia="仿宋" w:cs="Times New Roman"/>
          <w:color w:val="auto"/>
          <w:sz w:val="28"/>
          <w:szCs w:val="21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3</w:t>
      </w:r>
      <w:r>
        <w:rPr>
          <w:rFonts w:ascii="仿宋" w:hAnsi="仿宋" w:eastAsia="仿宋" w:cs="Times New Roman"/>
          <w:color w:val="auto"/>
          <w:sz w:val="28"/>
          <w:szCs w:val="21"/>
        </w:rPr>
        <w:t>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第二个环节：现场讲课评审环节，百分制</w:t>
      </w:r>
      <w:r>
        <w:rPr>
          <w:rFonts w:ascii="仿宋" w:hAnsi="仿宋" w:eastAsia="仿宋" w:cs="Times New Roman"/>
          <w:color w:val="auto"/>
          <w:sz w:val="28"/>
          <w:szCs w:val="21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占总成绩</w:t>
      </w:r>
      <w:r>
        <w:rPr>
          <w:rFonts w:ascii="仿宋" w:hAnsi="仿宋" w:eastAsia="仿宋" w:cs="Times New Roman"/>
          <w:color w:val="auto"/>
          <w:sz w:val="28"/>
          <w:szCs w:val="21"/>
        </w:rPr>
        <w:t>40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%。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ascii="仿宋" w:hAnsi="仿宋" w:eastAsia="仿宋" w:cs="Times New Roman"/>
          <w:color w:val="auto"/>
          <w:sz w:val="28"/>
          <w:szCs w:val="21"/>
        </w:rPr>
        <w:t>采取集中讲课的形式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，每门参赛</w:t>
      </w:r>
      <w:r>
        <w:rPr>
          <w:rFonts w:ascii="仿宋" w:hAnsi="仿宋" w:eastAsia="仿宋" w:cs="Times New Roman"/>
          <w:color w:val="auto"/>
          <w:sz w:val="28"/>
          <w:szCs w:val="21"/>
        </w:rPr>
        <w:t>课程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的主讲教师须进行2</w:t>
      </w:r>
      <w:r>
        <w:rPr>
          <w:rFonts w:ascii="仿宋" w:hAnsi="仿宋" w:eastAsia="仿宋" w:cs="Times New Roman"/>
          <w:color w:val="auto"/>
          <w:sz w:val="28"/>
          <w:szCs w:val="21"/>
        </w:rPr>
        <w:t>0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分钟的现场讲课。讲课内容</w:t>
      </w:r>
      <w:r>
        <w:rPr>
          <w:rFonts w:ascii="仿宋" w:hAnsi="仿宋" w:eastAsia="仿宋" w:cs="Times New Roman"/>
          <w:color w:val="auto"/>
          <w:sz w:val="28"/>
          <w:szCs w:val="21"/>
        </w:rPr>
        <w:t>为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参赛课程中1个学时教学内容中连续</w:t>
      </w:r>
      <w:r>
        <w:rPr>
          <w:rFonts w:ascii="仿宋" w:hAnsi="仿宋" w:eastAsia="仿宋" w:cs="Times New Roman"/>
          <w:color w:val="auto"/>
          <w:sz w:val="28"/>
          <w:szCs w:val="21"/>
        </w:rPr>
        <w:t>20分钟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的教学节段，主讲教师应按一堂有</w:t>
      </w:r>
      <w:r>
        <w:rPr>
          <w:rFonts w:ascii="仿宋" w:hAnsi="仿宋" w:eastAsia="仿宋" w:cs="Times New Roman"/>
          <w:color w:val="auto"/>
          <w:sz w:val="28"/>
          <w:szCs w:val="21"/>
        </w:rPr>
        <w:t>起承转合的完整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课堂对这2</w:t>
      </w:r>
      <w:r>
        <w:rPr>
          <w:rFonts w:ascii="仿宋" w:hAnsi="仿宋" w:eastAsia="仿宋" w:cs="Times New Roman"/>
          <w:color w:val="auto"/>
          <w:sz w:val="28"/>
          <w:szCs w:val="21"/>
        </w:rPr>
        <w:t>0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分钟的教学内容准备对应的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1学时的教学设计（教案）和20分钟教学内容的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P</w:t>
      </w:r>
      <w:r>
        <w:rPr>
          <w:rFonts w:ascii="仿宋" w:hAnsi="仿宋" w:eastAsia="仿宋" w:cs="Times New Roman"/>
          <w:color w:val="auto"/>
          <w:sz w:val="28"/>
          <w:szCs w:val="21"/>
        </w:rPr>
        <w:t>PT。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 xml:space="preserve">  </w:t>
      </w:r>
      <w:r>
        <w:rPr>
          <w:rFonts w:ascii="仿宋" w:hAnsi="仿宋" w:eastAsia="仿宋" w:cs="Times New Roman"/>
          <w:color w:val="auto"/>
          <w:sz w:val="28"/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四、材料要求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（一）参赛教师提交材料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请参赛教师将以下材料1、</w:t>
      </w:r>
      <w:r>
        <w:rPr>
          <w:rFonts w:ascii="仿宋" w:hAnsi="仿宋" w:eastAsia="仿宋" w:cs="Times New Roman"/>
          <w:color w:val="auto"/>
          <w:sz w:val="28"/>
          <w:szCs w:val="21"/>
        </w:rPr>
        <w:t>2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提交至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所在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学院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校区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，由学院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校区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遴选汇总后提交；材料3待另文通知后才提交。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1</w:t>
      </w:r>
      <w:r>
        <w:rPr>
          <w:rFonts w:ascii="仿宋" w:hAnsi="仿宋" w:eastAsia="仿宋" w:cs="Times New Roman"/>
          <w:color w:val="auto"/>
          <w:sz w:val="28"/>
          <w:szCs w:val="21"/>
        </w:rPr>
        <w:t>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申报书（附件</w:t>
      </w:r>
      <w:r>
        <w:rPr>
          <w:rFonts w:ascii="仿宋" w:hAnsi="仿宋" w:eastAsia="仿宋" w:cs="Times New Roman"/>
          <w:color w:val="auto"/>
          <w:sz w:val="28"/>
          <w:szCs w:val="21"/>
        </w:rPr>
        <w:t>2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请参赛教师（团队）根据参赛课程性质和参赛意向填写。该组别的设置与第三届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广东省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赛组别设置一致，便于学校推荐省赛人选时综合考虑组别结构。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2</w:t>
      </w:r>
      <w:r>
        <w:rPr>
          <w:rFonts w:ascii="仿宋" w:hAnsi="仿宋" w:eastAsia="仿宋" w:cs="Times New Roman"/>
          <w:color w:val="auto"/>
          <w:sz w:val="28"/>
          <w:szCs w:val="21"/>
        </w:rPr>
        <w:t>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教学创新成果概况表（附件</w:t>
      </w:r>
      <w:r>
        <w:rPr>
          <w:rFonts w:ascii="仿宋" w:hAnsi="仿宋" w:eastAsia="仿宋" w:cs="Times New Roman"/>
          <w:color w:val="auto"/>
          <w:sz w:val="28"/>
          <w:szCs w:val="21"/>
        </w:rPr>
        <w:t>3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参赛教师按要求填写教学创新成果概况表，</w:t>
      </w:r>
      <w:r>
        <w:rPr>
          <w:rFonts w:ascii="仿宋" w:hAnsi="仿宋" w:eastAsia="仿宋" w:cs="Times New Roman"/>
          <w:color w:val="auto"/>
          <w:sz w:val="28"/>
          <w:szCs w:val="21"/>
        </w:rPr>
        <w:t>简明扼要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阐述</w:t>
      </w:r>
      <w:r>
        <w:rPr>
          <w:rFonts w:ascii="仿宋" w:hAnsi="仿宋" w:eastAsia="仿宋" w:cs="Times New Roman"/>
          <w:color w:val="auto"/>
          <w:sz w:val="28"/>
          <w:szCs w:val="21"/>
        </w:rPr>
        <w:t>课程简介及发展历程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、教学创新的主要思路、实施教学创新的主要举措、主讲教师及团队成员教学创新取得的主要成果</w:t>
      </w:r>
      <w:r>
        <w:rPr>
          <w:rFonts w:ascii="仿宋" w:hAnsi="仿宋" w:eastAsia="仿宋" w:cs="Times New Roman"/>
          <w:color w:val="auto"/>
          <w:sz w:val="28"/>
          <w:szCs w:val="21"/>
        </w:rPr>
        <w:t>/成效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，并附相关证明材料。概况表</w:t>
      </w:r>
      <w:r>
        <w:rPr>
          <w:rFonts w:ascii="仿宋" w:hAnsi="仿宋" w:eastAsia="仿宋" w:cs="Times New Roman"/>
          <w:color w:val="auto"/>
          <w:sz w:val="28"/>
          <w:szCs w:val="21"/>
        </w:rPr>
        <w:t>字数不超过4000字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，可图文结合。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3</w:t>
      </w:r>
      <w:r>
        <w:rPr>
          <w:rFonts w:ascii="仿宋" w:hAnsi="仿宋" w:eastAsia="仿宋" w:cs="Times New Roman"/>
          <w:color w:val="auto"/>
          <w:sz w:val="28"/>
          <w:szCs w:val="21"/>
        </w:rPr>
        <w:t>.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参赛课程1学时的教学设计（教案）和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课堂教学节段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20分钟的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PPT。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每门参赛</w:t>
      </w:r>
      <w:r>
        <w:rPr>
          <w:rFonts w:ascii="仿宋" w:hAnsi="仿宋" w:eastAsia="仿宋" w:cs="Times New Roman"/>
          <w:color w:val="auto"/>
          <w:sz w:val="28"/>
          <w:szCs w:val="21"/>
        </w:rPr>
        <w:t>课程的主讲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教师需准备1个学时所对应的</w:t>
      </w:r>
      <w:r>
        <w:rPr>
          <w:rFonts w:ascii="仿宋" w:hAnsi="仿宋" w:eastAsia="仿宋" w:cs="Times New Roman"/>
          <w:color w:val="auto"/>
          <w:sz w:val="28"/>
          <w:szCs w:val="21"/>
        </w:rPr>
        <w:t>1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个课堂教学节段（即课堂教学连续2</w:t>
      </w:r>
      <w:r>
        <w:rPr>
          <w:rFonts w:ascii="仿宋" w:hAnsi="仿宋" w:eastAsia="仿宋" w:cs="Times New Roman"/>
          <w:color w:val="auto"/>
          <w:sz w:val="28"/>
          <w:szCs w:val="21"/>
        </w:rPr>
        <w:t>0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分钟所需的教学内容）的PPT。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（二）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二级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学院（校区）提交材料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请各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二级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 xml:space="preserve">学院（校区）积极组织本单位教师，认真审查参赛教师（团队）的参赛资格、材料真实性，并提交以下材料： 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1.推荐参加学校决赛的教师（团队）申报书（附件</w:t>
      </w:r>
      <w:r>
        <w:rPr>
          <w:rFonts w:ascii="仿宋" w:hAnsi="仿宋" w:eastAsia="仿宋" w:cs="Times New Roman"/>
          <w:color w:val="auto"/>
          <w:sz w:val="28"/>
          <w:szCs w:val="21"/>
        </w:rPr>
        <w:t>2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ascii="仿宋" w:hAnsi="仿宋" w:eastAsia="仿宋" w:cs="Times New Roman"/>
          <w:color w:val="auto"/>
          <w:sz w:val="28"/>
          <w:szCs w:val="21"/>
        </w:rPr>
        <w:t>2.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教学创新成果概况表（附件</w:t>
      </w:r>
      <w:r>
        <w:rPr>
          <w:rFonts w:ascii="仿宋" w:hAnsi="仿宋" w:eastAsia="仿宋" w:cs="Times New Roman"/>
          <w:color w:val="auto"/>
          <w:sz w:val="28"/>
          <w:szCs w:val="21"/>
        </w:rPr>
        <w:t>3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每个参赛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教师（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团队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上述两种材料合成一个文件夹，以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“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  <w:lang w:val="en-US" w:eastAsia="zh-CN"/>
        </w:rPr>
        <w:t>职称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+学院+姓名+课程”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命名。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3.本单位参赛教师汇总表（附件</w:t>
      </w:r>
      <w:r>
        <w:rPr>
          <w:rFonts w:ascii="仿宋" w:hAnsi="仿宋" w:eastAsia="仿宋" w:cs="Times New Roman"/>
          <w:color w:val="auto"/>
          <w:sz w:val="28"/>
          <w:szCs w:val="21"/>
        </w:rPr>
        <w:t>4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4</w:t>
      </w:r>
      <w:r>
        <w:rPr>
          <w:rFonts w:ascii="仿宋" w:hAnsi="仿宋" w:eastAsia="仿宋" w:cs="Times New Roman"/>
          <w:color w:val="auto"/>
          <w:sz w:val="28"/>
          <w:szCs w:val="21"/>
        </w:rPr>
        <w:t>.竞赛工作总结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2023年1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  <w:lang w:val="en-US" w:eastAsia="zh-CN"/>
        </w:rPr>
        <w:t>24</w:t>
      </w:r>
      <w:r>
        <w:rPr>
          <w:rFonts w:hint="eastAsia" w:ascii="仿宋" w:hAnsi="仿宋" w:eastAsia="仿宋" w:cs="Times New Roman"/>
          <w:color w:val="auto"/>
          <w:sz w:val="28"/>
          <w:szCs w:val="21"/>
          <w:highlight w:val="none"/>
        </w:rPr>
        <w:t>日前提交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）。</w:t>
      </w:r>
      <w:bookmarkStart w:id="0" w:name="_Hlk114048003"/>
      <w:r>
        <w:rPr>
          <w:rFonts w:hint="eastAsia" w:ascii="仿宋" w:hAnsi="仿宋" w:eastAsia="仿宋" w:cs="Times New Roman"/>
          <w:color w:val="auto"/>
          <w:sz w:val="28"/>
          <w:szCs w:val="21"/>
        </w:rPr>
        <w:t>竞赛工作总结</w:t>
      </w:r>
      <w:r>
        <w:rPr>
          <w:rFonts w:ascii="仿宋" w:hAnsi="仿宋" w:eastAsia="仿宋" w:cs="Times New Roman"/>
          <w:color w:val="auto"/>
          <w:sz w:val="28"/>
          <w:szCs w:val="21"/>
        </w:rPr>
        <w:t>包括但不限于组织概况、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参与人数、</w:t>
      </w:r>
      <w:r>
        <w:rPr>
          <w:rFonts w:ascii="仿宋" w:hAnsi="仿宋" w:eastAsia="仿宋" w:cs="Times New Roman"/>
          <w:color w:val="auto"/>
          <w:sz w:val="28"/>
          <w:szCs w:val="21"/>
        </w:rPr>
        <w:t>效果与特点、问题与建议等内容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，是评选优秀组织奖的重要依据。</w:t>
      </w:r>
      <w:bookmarkEnd w:id="0"/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五</w:t>
      </w:r>
      <w:r>
        <w:rPr>
          <w:rFonts w:ascii="仿宋" w:hAnsi="仿宋" w:eastAsia="仿宋" w:cs="Times New Roman"/>
          <w:b/>
          <w:bCs/>
          <w:color w:val="auto"/>
          <w:sz w:val="28"/>
          <w:szCs w:val="21"/>
        </w:rPr>
        <w:t>、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学校</w:t>
      </w:r>
      <w:r>
        <w:rPr>
          <w:rFonts w:ascii="仿宋" w:hAnsi="仿宋" w:eastAsia="仿宋" w:cs="Times New Roman"/>
          <w:b/>
          <w:bCs/>
          <w:color w:val="auto"/>
          <w:sz w:val="28"/>
          <w:szCs w:val="21"/>
        </w:rPr>
        <w:t>决赛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1"/>
        </w:rPr>
        <w:t>奖项设置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竞赛设个人（团队）奖与优秀组织奖。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（一）个人（团队）奖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分设</w:t>
      </w:r>
      <w:r>
        <w:rPr>
          <w:rFonts w:ascii="仿宋" w:hAnsi="仿宋" w:eastAsia="仿宋" w:cs="Times New Roman"/>
          <w:color w:val="auto"/>
          <w:sz w:val="28"/>
          <w:szCs w:val="21"/>
        </w:rPr>
        <w:t>一等奖、二等奖、三等奖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一等奖与广东省教师教学创新大赛可推荐人数一致。二等奖、三等奖视参赛人数等情况，按一定比例确定。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（二）优秀组织奖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综合考虑竞赛组织情况、教师参与度、学校</w:t>
      </w:r>
      <w:r>
        <w:rPr>
          <w:rFonts w:ascii="仿宋" w:hAnsi="仿宋" w:eastAsia="仿宋" w:cs="Times New Roman"/>
          <w:color w:val="auto"/>
          <w:sz w:val="28"/>
          <w:szCs w:val="21"/>
        </w:rPr>
        <w:t>决赛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成绩等，按一定比例设定。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b/>
          <w:color w:val="auto"/>
          <w:sz w:val="28"/>
          <w:szCs w:val="21"/>
        </w:rPr>
        <w:t>六</w:t>
      </w:r>
      <w:r>
        <w:rPr>
          <w:rFonts w:ascii="仿宋" w:hAnsi="仿宋" w:eastAsia="仿宋" w:cs="Times New Roman"/>
          <w:b/>
          <w:color w:val="auto"/>
          <w:sz w:val="28"/>
          <w:szCs w:val="21"/>
        </w:rPr>
        <w:t>、其他事项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（一）学校</w:t>
      </w:r>
      <w:r>
        <w:rPr>
          <w:rFonts w:ascii="仿宋" w:hAnsi="仿宋" w:eastAsia="仿宋" w:cs="Times New Roman"/>
          <w:color w:val="auto"/>
          <w:sz w:val="28"/>
          <w:szCs w:val="21"/>
        </w:rPr>
        <w:t>决赛时间、地点及日程另行通知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。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（二）赛事其他未尽事宜，由</w:t>
      </w:r>
      <w:r>
        <w:rPr>
          <w:rFonts w:hint="eastAsia" w:ascii="仿宋" w:hAnsi="仿宋" w:eastAsia="仿宋" w:cs="Times New Roman"/>
          <w:color w:val="auto"/>
          <w:sz w:val="28"/>
          <w:szCs w:val="21"/>
          <w:lang w:val="en-US" w:eastAsia="zh-CN"/>
        </w:rPr>
        <w:t>教师发展中心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决定。</w:t>
      </w:r>
    </w:p>
    <w:p>
      <w:pPr>
        <w:tabs>
          <w:tab w:val="left" w:pos="7513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auto"/>
          <w:sz w:val="28"/>
          <w:szCs w:val="21"/>
        </w:rPr>
      </w:pPr>
      <w:r>
        <w:rPr>
          <w:rFonts w:hint="eastAsia" w:ascii="仿宋" w:hAnsi="仿宋" w:eastAsia="仿宋" w:cs="Times New Roman"/>
          <w:color w:val="auto"/>
          <w:sz w:val="28"/>
          <w:szCs w:val="21"/>
        </w:rPr>
        <w:t>（三）推荐</w:t>
      </w:r>
      <w:r>
        <w:rPr>
          <w:rFonts w:ascii="仿宋" w:hAnsi="仿宋" w:eastAsia="仿宋" w:cs="Times New Roman"/>
          <w:color w:val="auto"/>
          <w:sz w:val="28"/>
          <w:szCs w:val="21"/>
        </w:rPr>
        <w:t>参加学校决赛材料报送</w:t>
      </w:r>
      <w:r>
        <w:rPr>
          <w:rFonts w:hint="eastAsia" w:ascii="仿宋" w:hAnsi="仿宋" w:eastAsia="仿宋" w:cs="Times New Roman"/>
          <w:color w:val="auto"/>
          <w:sz w:val="28"/>
          <w:szCs w:val="21"/>
        </w:rPr>
        <w:t>具体时间。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8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bookmarkStart w:id="1" w:name="_Hlk114047805"/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20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报送截止日期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推荐参加校赛的教师（团队）申报书（附件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）、教学创新成果概况表（附件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汇总表（附件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），由学院遴选汇总后统一提交纸质版及电子版各1份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0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79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2.二级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（校区）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竞赛工作总结。提交纸质版及电子版各1份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0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79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主讲教师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参赛课程1学时教学设计（附件）和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教师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现场讲课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20分钟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所用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的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个教学节段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PPT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0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学校决赛第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环节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（另文通知）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5" w:lineRule="atLeast"/>
              <w:ind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注：材料报送至学校教师发展中心，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综合楼220室，陈老师</w:t>
            </w:r>
            <w: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</w:tr>
      <w:bookmarkEnd w:id="1"/>
    </w:tbl>
    <w:p>
      <w:pPr>
        <w:widowControl/>
        <w:jc w:val="left"/>
        <w:rPr>
          <w:rFonts w:ascii="黑体" w:hAnsi="黑体" w:eastAsia="黑体"/>
          <w:bCs/>
          <w:color w:val="auto"/>
          <w:sz w:val="32"/>
          <w:szCs w:val="32"/>
        </w:rPr>
      </w:pPr>
    </w:p>
    <w:p>
      <w:pPr>
        <w:rPr>
          <w:rFonts w:ascii="方正公文小标宋" w:hAnsi="方正公文小标宋" w:eastAsia="方正公文小标宋" w:cs="方正公文小标宋"/>
          <w:b/>
          <w:color w:val="auto"/>
          <w:sz w:val="28"/>
          <w:szCs w:val="28"/>
          <w:lang w:bidi="en-US"/>
        </w:rPr>
      </w:pPr>
      <w:bookmarkStart w:id="2" w:name="_Hlk145408992"/>
    </w:p>
    <w:bookmarkEnd w:id="2"/>
    <w:p>
      <w:pPr>
        <w:rPr>
          <w:color w:val="auto"/>
        </w:rPr>
      </w:pP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2098" w:right="1474" w:bottom="1871" w:left="1474" w:header="0" w:footer="1418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454" w:right="454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54" w:right="454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7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2YzQzOTljZWUyMzJlZjIxN2Q4Mjc4ZmRlNjBjMzEifQ=="/>
  </w:docVars>
  <w:rsids>
    <w:rsidRoot w:val="00544AAA"/>
    <w:rsid w:val="00006089"/>
    <w:rsid w:val="000A581B"/>
    <w:rsid w:val="000F3DE6"/>
    <w:rsid w:val="0011651D"/>
    <w:rsid w:val="00126F63"/>
    <w:rsid w:val="00136294"/>
    <w:rsid w:val="00185AA3"/>
    <w:rsid w:val="001A09E5"/>
    <w:rsid w:val="001D7838"/>
    <w:rsid w:val="00204D84"/>
    <w:rsid w:val="002168BC"/>
    <w:rsid w:val="002460A6"/>
    <w:rsid w:val="00253D53"/>
    <w:rsid w:val="002820F2"/>
    <w:rsid w:val="002B3F3B"/>
    <w:rsid w:val="002D1F2B"/>
    <w:rsid w:val="0032597A"/>
    <w:rsid w:val="00394E7D"/>
    <w:rsid w:val="004012A8"/>
    <w:rsid w:val="00440079"/>
    <w:rsid w:val="0045043C"/>
    <w:rsid w:val="004B48CF"/>
    <w:rsid w:val="004B6A41"/>
    <w:rsid w:val="004C0119"/>
    <w:rsid w:val="004D7047"/>
    <w:rsid w:val="004E6A5F"/>
    <w:rsid w:val="005052AC"/>
    <w:rsid w:val="00505B1B"/>
    <w:rsid w:val="00544AAA"/>
    <w:rsid w:val="005A71BF"/>
    <w:rsid w:val="005B75BF"/>
    <w:rsid w:val="005C18B3"/>
    <w:rsid w:val="005F66EA"/>
    <w:rsid w:val="00605346"/>
    <w:rsid w:val="00612CF9"/>
    <w:rsid w:val="00647D49"/>
    <w:rsid w:val="0065618B"/>
    <w:rsid w:val="006A49FD"/>
    <w:rsid w:val="006B45F3"/>
    <w:rsid w:val="006B7118"/>
    <w:rsid w:val="00781912"/>
    <w:rsid w:val="00812A3C"/>
    <w:rsid w:val="008B5931"/>
    <w:rsid w:val="008E7FD7"/>
    <w:rsid w:val="008F24C9"/>
    <w:rsid w:val="0094354A"/>
    <w:rsid w:val="00967AEB"/>
    <w:rsid w:val="0097135D"/>
    <w:rsid w:val="0098152B"/>
    <w:rsid w:val="009871C0"/>
    <w:rsid w:val="009F3D62"/>
    <w:rsid w:val="00A51328"/>
    <w:rsid w:val="00A55A14"/>
    <w:rsid w:val="00A73B9E"/>
    <w:rsid w:val="00AA7D4F"/>
    <w:rsid w:val="00B2542C"/>
    <w:rsid w:val="00B25F55"/>
    <w:rsid w:val="00B40E92"/>
    <w:rsid w:val="00B93549"/>
    <w:rsid w:val="00CF0A61"/>
    <w:rsid w:val="00D66296"/>
    <w:rsid w:val="00D96DE3"/>
    <w:rsid w:val="00DA5B19"/>
    <w:rsid w:val="00DD0032"/>
    <w:rsid w:val="00E251A3"/>
    <w:rsid w:val="00E25201"/>
    <w:rsid w:val="00E274F6"/>
    <w:rsid w:val="00E33E6B"/>
    <w:rsid w:val="00E3712A"/>
    <w:rsid w:val="00E67080"/>
    <w:rsid w:val="00E7799A"/>
    <w:rsid w:val="00E906EC"/>
    <w:rsid w:val="00EA4260"/>
    <w:rsid w:val="00EC6DD8"/>
    <w:rsid w:val="00ED3857"/>
    <w:rsid w:val="00F777E0"/>
    <w:rsid w:val="00FE2C5F"/>
    <w:rsid w:val="01415CD2"/>
    <w:rsid w:val="01BB18D3"/>
    <w:rsid w:val="02533F0F"/>
    <w:rsid w:val="02EE4BDC"/>
    <w:rsid w:val="033E4BBF"/>
    <w:rsid w:val="03A821A8"/>
    <w:rsid w:val="04C11604"/>
    <w:rsid w:val="06AD2836"/>
    <w:rsid w:val="06F86E33"/>
    <w:rsid w:val="07A34FF1"/>
    <w:rsid w:val="08AE00F1"/>
    <w:rsid w:val="0958005D"/>
    <w:rsid w:val="0ADF27E4"/>
    <w:rsid w:val="0C2D57D1"/>
    <w:rsid w:val="0D2E1801"/>
    <w:rsid w:val="0E63372C"/>
    <w:rsid w:val="0F2A424A"/>
    <w:rsid w:val="0F3D3F7D"/>
    <w:rsid w:val="0F845361"/>
    <w:rsid w:val="103507FE"/>
    <w:rsid w:val="10B01EE1"/>
    <w:rsid w:val="114E00D1"/>
    <w:rsid w:val="11EB2906"/>
    <w:rsid w:val="12415B32"/>
    <w:rsid w:val="13916D9A"/>
    <w:rsid w:val="14AA5E0A"/>
    <w:rsid w:val="14F25809"/>
    <w:rsid w:val="14F41582"/>
    <w:rsid w:val="174F6524"/>
    <w:rsid w:val="17957ABA"/>
    <w:rsid w:val="18700F1F"/>
    <w:rsid w:val="18FA6A3B"/>
    <w:rsid w:val="192C117D"/>
    <w:rsid w:val="19C57049"/>
    <w:rsid w:val="1A4E330B"/>
    <w:rsid w:val="1B3C333B"/>
    <w:rsid w:val="1B46240B"/>
    <w:rsid w:val="1BDF64C9"/>
    <w:rsid w:val="1BF65BDF"/>
    <w:rsid w:val="1BFD198C"/>
    <w:rsid w:val="1D1F4CC2"/>
    <w:rsid w:val="1DB01DBE"/>
    <w:rsid w:val="1E226546"/>
    <w:rsid w:val="1E3B3D7D"/>
    <w:rsid w:val="1E923E6A"/>
    <w:rsid w:val="1EAF1CFA"/>
    <w:rsid w:val="1ECC2C27"/>
    <w:rsid w:val="1EF10959"/>
    <w:rsid w:val="1F4E7AE0"/>
    <w:rsid w:val="203959AD"/>
    <w:rsid w:val="205B4263"/>
    <w:rsid w:val="20C77B4A"/>
    <w:rsid w:val="20DE58F0"/>
    <w:rsid w:val="20E97AC1"/>
    <w:rsid w:val="229D78AE"/>
    <w:rsid w:val="22D831AD"/>
    <w:rsid w:val="23751ADF"/>
    <w:rsid w:val="23F30C56"/>
    <w:rsid w:val="2416463C"/>
    <w:rsid w:val="244514B2"/>
    <w:rsid w:val="24D04133"/>
    <w:rsid w:val="25F16959"/>
    <w:rsid w:val="27710810"/>
    <w:rsid w:val="27800A53"/>
    <w:rsid w:val="28333D17"/>
    <w:rsid w:val="28FE2577"/>
    <w:rsid w:val="29257B04"/>
    <w:rsid w:val="29B82726"/>
    <w:rsid w:val="2A4E4E38"/>
    <w:rsid w:val="2AA902C1"/>
    <w:rsid w:val="2C3A38C6"/>
    <w:rsid w:val="2D285F31"/>
    <w:rsid w:val="2D287BC3"/>
    <w:rsid w:val="2DA41CE1"/>
    <w:rsid w:val="2DE75388"/>
    <w:rsid w:val="2EA0155B"/>
    <w:rsid w:val="2F034443"/>
    <w:rsid w:val="2F414F6C"/>
    <w:rsid w:val="300F42F2"/>
    <w:rsid w:val="308A02AF"/>
    <w:rsid w:val="31E56082"/>
    <w:rsid w:val="33AD0E22"/>
    <w:rsid w:val="358F2960"/>
    <w:rsid w:val="36163068"/>
    <w:rsid w:val="36C02C1A"/>
    <w:rsid w:val="37284DF0"/>
    <w:rsid w:val="377B2D8A"/>
    <w:rsid w:val="37ED66D2"/>
    <w:rsid w:val="386A1ECD"/>
    <w:rsid w:val="39D522F0"/>
    <w:rsid w:val="3A06258B"/>
    <w:rsid w:val="3A1B4335"/>
    <w:rsid w:val="3AA20FB4"/>
    <w:rsid w:val="3BB42532"/>
    <w:rsid w:val="3C6A6F82"/>
    <w:rsid w:val="3EF21DDE"/>
    <w:rsid w:val="3FC664B0"/>
    <w:rsid w:val="3FD5275E"/>
    <w:rsid w:val="40343568"/>
    <w:rsid w:val="408471BA"/>
    <w:rsid w:val="40CD2E68"/>
    <w:rsid w:val="41630D72"/>
    <w:rsid w:val="417047F8"/>
    <w:rsid w:val="41B77613"/>
    <w:rsid w:val="41EF0857"/>
    <w:rsid w:val="429513FF"/>
    <w:rsid w:val="430640AA"/>
    <w:rsid w:val="434A043B"/>
    <w:rsid w:val="44AB4F09"/>
    <w:rsid w:val="44E65F41"/>
    <w:rsid w:val="470B7EE1"/>
    <w:rsid w:val="476A2E5A"/>
    <w:rsid w:val="479A57AA"/>
    <w:rsid w:val="48C06AA9"/>
    <w:rsid w:val="48E73A52"/>
    <w:rsid w:val="4A273284"/>
    <w:rsid w:val="4A421A9C"/>
    <w:rsid w:val="4A447706"/>
    <w:rsid w:val="4A513E5D"/>
    <w:rsid w:val="4AB20A92"/>
    <w:rsid w:val="4B047121"/>
    <w:rsid w:val="4C086F18"/>
    <w:rsid w:val="4CEC5076"/>
    <w:rsid w:val="4D052513"/>
    <w:rsid w:val="4EC83AE4"/>
    <w:rsid w:val="4F365F97"/>
    <w:rsid w:val="4FFD05E3"/>
    <w:rsid w:val="5043693E"/>
    <w:rsid w:val="510C4F82"/>
    <w:rsid w:val="52416EAD"/>
    <w:rsid w:val="524B3888"/>
    <w:rsid w:val="536A41E2"/>
    <w:rsid w:val="53733833"/>
    <w:rsid w:val="54D52900"/>
    <w:rsid w:val="553B50D1"/>
    <w:rsid w:val="554051FA"/>
    <w:rsid w:val="559C475F"/>
    <w:rsid w:val="56044479"/>
    <w:rsid w:val="580547FF"/>
    <w:rsid w:val="58075059"/>
    <w:rsid w:val="58953AAF"/>
    <w:rsid w:val="5A2450EA"/>
    <w:rsid w:val="5BAA7871"/>
    <w:rsid w:val="5D6F2B20"/>
    <w:rsid w:val="5E486DCD"/>
    <w:rsid w:val="5E6301AB"/>
    <w:rsid w:val="5F48187B"/>
    <w:rsid w:val="5FEB0458"/>
    <w:rsid w:val="608D1EFC"/>
    <w:rsid w:val="60B44CEE"/>
    <w:rsid w:val="61023CAB"/>
    <w:rsid w:val="612C3F1D"/>
    <w:rsid w:val="61C64CD9"/>
    <w:rsid w:val="632048BD"/>
    <w:rsid w:val="63276720"/>
    <w:rsid w:val="63D80CF3"/>
    <w:rsid w:val="643104F4"/>
    <w:rsid w:val="686A5863"/>
    <w:rsid w:val="68AF4719"/>
    <w:rsid w:val="6A1F555D"/>
    <w:rsid w:val="6AC87D14"/>
    <w:rsid w:val="6B4D1FC7"/>
    <w:rsid w:val="6BD12BF8"/>
    <w:rsid w:val="6D146B35"/>
    <w:rsid w:val="6D4B0788"/>
    <w:rsid w:val="6D806D4E"/>
    <w:rsid w:val="6DFC743B"/>
    <w:rsid w:val="6E61624D"/>
    <w:rsid w:val="6ECE341F"/>
    <w:rsid w:val="700A66D9"/>
    <w:rsid w:val="708C0DE1"/>
    <w:rsid w:val="70B14DA6"/>
    <w:rsid w:val="73101484"/>
    <w:rsid w:val="733B79C1"/>
    <w:rsid w:val="735A5E0E"/>
    <w:rsid w:val="7491561A"/>
    <w:rsid w:val="749B3DA3"/>
    <w:rsid w:val="75226272"/>
    <w:rsid w:val="75FB0F9D"/>
    <w:rsid w:val="77150947"/>
    <w:rsid w:val="77CD4BBB"/>
    <w:rsid w:val="77D72A16"/>
    <w:rsid w:val="77DC4DFE"/>
    <w:rsid w:val="783507EA"/>
    <w:rsid w:val="790C526F"/>
    <w:rsid w:val="7ADD32F6"/>
    <w:rsid w:val="7B0E3521"/>
    <w:rsid w:val="7B245983"/>
    <w:rsid w:val="7B5F3D7C"/>
    <w:rsid w:val="7BE2675B"/>
    <w:rsid w:val="7BE451AA"/>
    <w:rsid w:val="7C0861C2"/>
    <w:rsid w:val="7C755AA5"/>
    <w:rsid w:val="7DE965E5"/>
    <w:rsid w:val="7ED00AED"/>
    <w:rsid w:val="7EE031A4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6AF10-3E13-440F-99F2-90C26C83C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408</Words>
  <Characters>2328</Characters>
  <Lines>19</Lines>
  <Paragraphs>5</Paragraphs>
  <TotalTime>1</TotalTime>
  <ScaleCrop>false</ScaleCrop>
  <LinksUpToDate>false</LinksUpToDate>
  <CharactersWithSpaces>2731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2023-09-12T02:28:00Z</dcterms:created>
  <dc:creator>luo cheng</dc:creator>
  <cp:lastModifiedBy>假小子</cp:lastModifiedBy>
  <dcterms:modified xsi:type="dcterms:W3CDTF">2023-10-30T07:47:21Z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2E845FD9B6A944ABB4EBF2A5C0686FA7_12</vt:lpwstr>
  </property>
</Properties>
</file>