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161B52E">
      <w:pPr>
        <w:spacing w:line="360" w:lineRule="auto"/>
        <w:ind w:left="24"/>
        <w:rPr>
          <w:rFonts w:ascii="Times New Roman" w:hAnsi="Times New Roman" w:eastAsia="仿宋" w:cs="Times New Roman"/>
          <w:b/>
          <w:bCs/>
          <w:sz w:val="32"/>
          <w:szCs w:val="32"/>
          <w:lang w:eastAsia="zh-CN"/>
        </w:rPr>
      </w:pP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附件</w:t>
      </w:r>
      <w:r>
        <w:rPr>
          <w:rFonts w:ascii="Times New Roman" w:hAnsi="Times New Roman" w:eastAsia="仿宋" w:cs="Times New Roman"/>
          <w:b/>
          <w:bCs/>
          <w:spacing w:val="-51"/>
          <w:sz w:val="32"/>
          <w:szCs w:val="32"/>
          <w:lang w:eastAsia="zh-CN"/>
        </w:rPr>
        <w:t xml:space="preserve"> </w:t>
      </w:r>
      <w:r>
        <w:rPr>
          <w:rFonts w:hint="eastAsia" w:ascii="Times New Roman" w:hAnsi="Times New Roman" w:eastAsia="仿宋" w:cs="Times New Roman"/>
          <w:b/>
          <w:bCs/>
          <w:spacing w:val="-8"/>
          <w:sz w:val="32"/>
          <w:szCs w:val="32"/>
          <w:lang w:val="en-US" w:eastAsia="zh-CN"/>
        </w:rPr>
        <w:t>2</w:t>
      </w:r>
      <w:r>
        <w:rPr>
          <w:rFonts w:ascii="Times New Roman" w:hAnsi="Times New Roman" w:eastAsia="仿宋" w:cs="Times New Roman"/>
          <w:b/>
          <w:bCs/>
          <w:spacing w:val="-8"/>
          <w:sz w:val="32"/>
          <w:szCs w:val="32"/>
          <w:lang w:eastAsia="zh-CN"/>
        </w:rPr>
        <w:t>：</w:t>
      </w:r>
    </w:p>
    <w:p w14:paraId="6BFF732B">
      <w:pPr>
        <w:ind w:left="34"/>
        <w:jc w:val="center"/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第八届全国高校混合式教学设计创新大赛</w:t>
      </w:r>
    </w:p>
    <w:p w14:paraId="3BC7FD1C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  <w:r>
        <w:rPr>
          <w:rFonts w:hint="eastAsia"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  <w:t>评审标准</w:t>
      </w:r>
      <w:bookmarkStart w:id="0" w:name="_GoBack"/>
      <w:bookmarkEnd w:id="0"/>
    </w:p>
    <w:p w14:paraId="402AAD94">
      <w:pPr>
        <w:ind w:left="34"/>
        <w:jc w:val="center"/>
        <w:rPr>
          <w:rFonts w:ascii="方正小标宋简体" w:hAnsi="等线" w:eastAsia="方正小标宋简体" w:cs="Times New Roman"/>
          <w:snapToGrid/>
          <w:color w:val="auto"/>
          <w:kern w:val="2"/>
          <w:sz w:val="44"/>
          <w:szCs w:val="44"/>
          <w:lang w:eastAsia="zh-CN"/>
        </w:rPr>
      </w:pPr>
    </w:p>
    <w:tbl>
      <w:tblPr>
        <w:tblStyle w:val="4"/>
        <w:tblW w:w="8642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122"/>
        <w:gridCol w:w="6520"/>
      </w:tblGrid>
      <w:tr w14:paraId="1BB4341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9" w:hRule="atLeast"/>
        </w:trPr>
        <w:tc>
          <w:tcPr>
            <w:tcW w:w="2122" w:type="dxa"/>
            <w:vAlign w:val="center"/>
          </w:tcPr>
          <w:p w14:paraId="21C0DFB2">
            <w:pPr>
              <w:spacing w:line="360" w:lineRule="auto"/>
              <w:ind w:left="1042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标准</w:t>
            </w:r>
          </w:p>
        </w:tc>
        <w:tc>
          <w:tcPr>
            <w:tcW w:w="6520" w:type="dxa"/>
            <w:vAlign w:val="center"/>
          </w:tcPr>
          <w:p w14:paraId="7F52848E">
            <w:pPr>
              <w:spacing w:line="360" w:lineRule="auto"/>
              <w:ind w:left="3364"/>
              <w:rPr>
                <w:rFonts w:ascii="Times New Roman" w:hAnsi="Times New Roman" w:eastAsia="仿宋" w:cs="Times New Roman"/>
                <w:sz w:val="32"/>
                <w:szCs w:val="32"/>
              </w:rPr>
            </w:pPr>
            <w:r>
              <w:rPr>
                <w:rFonts w:ascii="Times New Roman" w:hAnsi="Times New Roman" w:eastAsia="仿宋" w:cs="Times New Roman"/>
                <w:b/>
                <w:bCs/>
                <w:spacing w:val="-8"/>
                <w:sz w:val="32"/>
                <w:szCs w:val="32"/>
              </w:rPr>
              <w:t>细则</w:t>
            </w:r>
          </w:p>
        </w:tc>
      </w:tr>
      <w:tr w14:paraId="55DD05B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8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B3E735F">
            <w:pPr>
              <w:pStyle w:val="5"/>
              <w:spacing w:line="360" w:lineRule="auto"/>
              <w:ind w:left="265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pacing w:val="-6"/>
                <w:sz w:val="32"/>
                <w:szCs w:val="32"/>
              </w:rPr>
              <w:t>1.学情与目标</w:t>
            </w:r>
            <w:r>
              <w:rPr>
                <w:rFonts w:hint="eastAsia" w:ascii="Times New Roman" w:hAnsi="Times New Roman" w:cs="Times New Roman"/>
                <w:b/>
                <w:bCs/>
                <w:spacing w:val="-6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spacing w:val="-6"/>
                <w:sz w:val="32"/>
                <w:szCs w:val="32"/>
                <w:lang w:val="en-US" w:eastAsia="zh-CN"/>
              </w:rPr>
              <w:t>20分）</w:t>
            </w:r>
          </w:p>
        </w:tc>
      </w:tr>
      <w:tr w14:paraId="7F46095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2487B1A7">
            <w:pPr>
              <w:pStyle w:val="5"/>
              <w:spacing w:line="360" w:lineRule="auto"/>
              <w:ind w:left="139" w:right="65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根据课程目标，结合准</w:t>
            </w:r>
            <w:r>
              <w:rPr>
                <w:rFonts w:ascii="Times New Roman" w:hAnsi="Times New Roman" w:cs="Times New Roman"/>
                <w:spacing w:val="-31"/>
                <w:sz w:val="32"/>
                <w:szCs w:val="32"/>
                <w:lang w:eastAsia="zh-CN"/>
              </w:rPr>
              <w:t>确的学情分析，描述学生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在课程结束后能够达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成的教学要求。</w:t>
            </w:r>
          </w:p>
        </w:tc>
        <w:tc>
          <w:tcPr>
            <w:tcW w:w="6520" w:type="dxa"/>
            <w:vAlign w:val="center"/>
          </w:tcPr>
          <w:p w14:paraId="04B718FB">
            <w:pPr>
              <w:pStyle w:val="5"/>
              <w:spacing w:line="360" w:lineRule="auto"/>
              <w:ind w:left="135" w:right="93" w:firstLine="2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1.1 阐述课程目标如何贴合本校办学定位和专业人才培养目标，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价值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塑造、知识传授、能力培养等如何有机融合。结合课程特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点和学生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实际，深入挖掘课程思政元素，并自然融入所选教学节次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当中，能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体现出盐溶于水般的课程育人，在教学内容、过程和评价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等方面有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4"/>
                <w:sz w:val="32"/>
                <w:szCs w:val="32"/>
                <w:lang w:eastAsia="zh-CN"/>
              </w:rPr>
              <w:t>良好的实施效果。</w:t>
            </w:r>
          </w:p>
        </w:tc>
      </w:tr>
      <w:tr w14:paraId="364C209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3CE0EBE7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1BC6D7A9">
            <w:pPr>
              <w:pStyle w:val="5"/>
              <w:spacing w:line="360" w:lineRule="auto"/>
              <w:ind w:left="136" w:right="93" w:firstLine="2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7"/>
                <w:sz w:val="32"/>
                <w:szCs w:val="32"/>
                <w:lang w:eastAsia="zh-CN"/>
              </w:rPr>
              <w:t>1.2 结合课程特点准确描述课程总体目标与所选教学节次教学目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标，内容具体，逻辑清晰，能够体现如何通过考核来检验教学的有效</w:t>
            </w:r>
            <w:r>
              <w:rPr>
                <w:rFonts w:ascii="Times New Roman" w:hAnsi="Times New Roman" w:cs="Times New Roman"/>
                <w:spacing w:val="2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性。</w:t>
            </w:r>
          </w:p>
        </w:tc>
      </w:tr>
      <w:tr w14:paraId="38CE618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7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218B5BE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7BCE25B4">
            <w:pPr>
              <w:pStyle w:val="5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1.3 基于教学目标对学情进行恰当分析，明确阐述所选教学节次采用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混合式教学改革需要解决的课堂教学真实问题。</w:t>
            </w:r>
          </w:p>
          <w:p w14:paraId="66445823">
            <w:pPr>
              <w:pStyle w:val="5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</w:pPr>
          </w:p>
          <w:p w14:paraId="06DBC983">
            <w:pPr>
              <w:pStyle w:val="5"/>
              <w:spacing w:line="360" w:lineRule="auto"/>
              <w:ind w:left="143" w:right="93" w:firstLine="11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63882E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84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608182EA">
            <w:pPr>
              <w:pStyle w:val="5"/>
              <w:spacing w:line="360" w:lineRule="auto"/>
              <w:ind w:left="251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2.内容与资源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32"/>
                <w:szCs w:val="32"/>
                <w:lang w:val="en-US" w:eastAsia="zh-CN"/>
              </w:rPr>
              <w:t>20分）</w:t>
            </w:r>
          </w:p>
        </w:tc>
      </w:tr>
      <w:tr w14:paraId="45BFDB3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03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3AED555B">
            <w:pPr>
              <w:pStyle w:val="5"/>
              <w:spacing w:line="360" w:lineRule="auto"/>
              <w:ind w:left="139" w:right="96" w:firstLine="2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>围绕学习目标提供形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式多样、逻辑清晰、线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上线下划分合理的学</w:t>
            </w:r>
            <w:r>
              <w:rPr>
                <w:rFonts w:ascii="Times New Roman" w:hAnsi="Times New Roman" w:cs="Times New Roman"/>
                <w:spacing w:val="-7"/>
                <w:sz w:val="32"/>
                <w:szCs w:val="32"/>
                <w:lang w:eastAsia="zh-CN"/>
              </w:rPr>
              <w:t>习材料。</w:t>
            </w:r>
          </w:p>
        </w:tc>
        <w:tc>
          <w:tcPr>
            <w:tcW w:w="6520" w:type="dxa"/>
            <w:vAlign w:val="center"/>
          </w:tcPr>
          <w:p w14:paraId="3DF04625">
            <w:pPr>
              <w:pStyle w:val="5"/>
              <w:spacing w:line="360" w:lineRule="auto"/>
              <w:ind w:left="134" w:right="8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2.1 强调以学生发展为中心，阐述引导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学生达成学习目标的教学理念和教学路径，科学合理地选择和组织课程内容，凸显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两性一度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，充分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体现混合式教学优势。</w:t>
            </w:r>
          </w:p>
        </w:tc>
      </w:tr>
      <w:tr w14:paraId="71EDD19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91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6C49F51E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6C4D70D0">
            <w:pPr>
              <w:pStyle w:val="5"/>
              <w:spacing w:line="360" w:lineRule="auto"/>
              <w:ind w:left="135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2.2 阐述教与学活动中使用各类教学平台、资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源、工具的教学设计理由，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体现恰当性、合理性和必要性；优先选择国家智慧教育公共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服务平台中的优质资源（慕课、虚拟仿真资源、数字教材等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），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结合本校实际情况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重构课程内容。</w:t>
            </w:r>
          </w:p>
        </w:tc>
      </w:tr>
      <w:tr w14:paraId="63CE54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4B8DD18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1B7D5FA9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2.3 内容与资源体现前沿性、时代性和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多样性，体现学思融合、产学融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合、跨专业能力融合、项目实践融合等。本科课程聚焦新工科、新医科、新农科、新文科建设，加强基础学科人才培养，着力造就拔尖创新人才；</w:t>
            </w:r>
            <w:r>
              <w:fldChar w:fldCharType="begin"/>
            </w:r>
            <w:r>
              <w:instrText xml:space="preserve"> HYPERLINK "https://kns.cnki.net/kns8/Detail?sfield=fn&amp;QueryID=5&amp;CurRec=37&amp;recid=&amp;FileName=XDZJ202309016&amp;DbName=CJFDAUTN&amp;DbCode=CJFD&amp;yx=&amp;pr=CJFR2023;&amp;URLID=" </w:instrText>
            </w:r>
            <w:r>
              <w:fldChar w:fldCharType="separate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高职课程聚焦以职业能力为导向的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fldChar w:fldCharType="end"/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课程建设，强调工学结合，校企合作，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深化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三教改革</w:t>
            </w:r>
            <w:r>
              <w:rPr>
                <w:rFonts w:hint="eastAsia" w:ascii="Times New Roman" w:hAnsi="Times New Roman" w:cs="Times New Roman"/>
                <w:spacing w:val="-15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，融入新技术、新工艺、新材料、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新设备、新知识。</w:t>
            </w:r>
          </w:p>
          <w:p w14:paraId="1AAC6C95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  <w:p w14:paraId="198E7471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  <w:p w14:paraId="522F9E46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  <w:p w14:paraId="742B64BA">
            <w:pPr>
              <w:pStyle w:val="5"/>
              <w:spacing w:line="360" w:lineRule="auto"/>
              <w:ind w:left="134" w:right="16" w:firstLine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</w:p>
        </w:tc>
      </w:tr>
      <w:tr w14:paraId="735344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49F912CE">
            <w:pPr>
              <w:pStyle w:val="5"/>
              <w:spacing w:line="360" w:lineRule="auto"/>
              <w:ind w:left="252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3.过程与方法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32"/>
                <w:szCs w:val="32"/>
                <w:lang w:val="en-US" w:eastAsia="zh-CN"/>
              </w:rPr>
              <w:t>20分）</w:t>
            </w:r>
          </w:p>
        </w:tc>
      </w:tr>
      <w:tr w14:paraId="76C5ACF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67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0FDA3667">
            <w:pPr>
              <w:pStyle w:val="5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充分利用学习资源、合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理安排学习内容，学习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活动能支持学生的互</w:t>
            </w: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动和参与，体现主动学习，达成既定的学习目</w:t>
            </w:r>
            <w:r>
              <w:rPr>
                <w:rFonts w:ascii="Times New Roman" w:hAnsi="Times New Roman" w:cs="Times New Roman"/>
                <w:spacing w:val="1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标。</w:t>
            </w:r>
          </w:p>
        </w:tc>
        <w:tc>
          <w:tcPr>
            <w:tcW w:w="6520" w:type="dxa"/>
            <w:vAlign w:val="center"/>
          </w:tcPr>
          <w:p w14:paraId="4165BB0D">
            <w:pPr>
              <w:pStyle w:val="5"/>
              <w:spacing w:line="360" w:lineRule="auto"/>
              <w:ind w:left="154" w:right="98" w:hanging="8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3.1 合理安排课内、课外教学活动，学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生学习负担适度，有证据证明有效开展了线上与线下密切衔接的全过程教学活动。本科课程加</w:t>
            </w:r>
            <w:r>
              <w:rPr>
                <w:rFonts w:ascii="Times New Roman" w:hAnsi="Times New Roman" w:cs="Times New Roman"/>
                <w:spacing w:val="8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"/>
                <w:sz w:val="32"/>
                <w:szCs w:val="32"/>
                <w:lang w:eastAsia="zh-CN"/>
              </w:rPr>
              <w:t>强研究型、项目型学习，注重培养学生解决问题、深入思辨等高阶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思维能力；高职课程加强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项目教学法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和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“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教-学-做</w:t>
            </w:r>
            <w:r>
              <w:rPr>
                <w:rFonts w:hint="eastAsia" w:ascii="Times New Roman" w:hAnsi="Times New Roman" w:cs="Times New Roman"/>
                <w:spacing w:val="-3"/>
                <w:sz w:val="32"/>
                <w:szCs w:val="32"/>
                <w:lang w:eastAsia="zh-CN"/>
              </w:rPr>
              <w:t>”</w:t>
            </w:r>
            <w:r>
              <w:rPr>
                <w:rFonts w:ascii="Times New Roman" w:hAnsi="Times New Roman" w:cs="Times New Roman"/>
                <w:spacing w:val="-3"/>
                <w:sz w:val="32"/>
                <w:szCs w:val="32"/>
                <w:lang w:eastAsia="zh-CN"/>
              </w:rPr>
              <w:t>一体化的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工学结合教学，注重培养能工巧匠、大国工匠。</w:t>
            </w:r>
          </w:p>
        </w:tc>
      </w:tr>
      <w:tr w14:paraId="77242D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64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1888CE35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535B7855">
            <w:pPr>
              <w:pStyle w:val="5"/>
              <w:spacing w:line="360" w:lineRule="auto"/>
              <w:ind w:left="144" w:right="95" w:hanging="7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>3.2 运用适当的数字化教学资源和工具，创新混合式教学的方式方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法，能进一步凝练形成混合式教学模式。</w:t>
            </w:r>
          </w:p>
        </w:tc>
      </w:tr>
      <w:tr w14:paraId="652CB2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0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41FBBC32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716FB2D6">
            <w:pPr>
              <w:pStyle w:val="5"/>
              <w:spacing w:line="360" w:lineRule="auto"/>
              <w:ind w:left="143" w:right="95" w:hanging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3.3 有证据显示多途径提供及时的学习活动支持，如学习引导、答疑</w:t>
            </w:r>
            <w:r>
              <w:rPr>
                <w:rFonts w:ascii="Times New Roman" w:hAnsi="Times New Roman" w:cs="Times New Roman"/>
                <w:spacing w:val="-5"/>
                <w:sz w:val="32"/>
                <w:szCs w:val="32"/>
                <w:lang w:eastAsia="zh-CN"/>
              </w:rPr>
              <w:t>互动等，增进师生互动、生生互动、人机互动等。</w:t>
            </w:r>
          </w:p>
        </w:tc>
      </w:tr>
      <w:tr w14:paraId="0B553FC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2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7EC5F502">
            <w:pPr>
              <w:pStyle w:val="5"/>
              <w:spacing w:line="360" w:lineRule="auto"/>
              <w:ind w:left="247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pacing w:val="-3"/>
                <w:sz w:val="32"/>
                <w:szCs w:val="32"/>
              </w:rPr>
              <w:t>4.评价与反馈</w:t>
            </w:r>
            <w:r>
              <w:rPr>
                <w:rFonts w:hint="eastAsia" w:ascii="Times New Roman" w:hAnsi="Times New Roman" w:cs="Times New Roman"/>
                <w:b/>
                <w:bCs/>
                <w:spacing w:val="-3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spacing w:val="-3"/>
                <w:sz w:val="32"/>
                <w:szCs w:val="32"/>
                <w:lang w:val="en-US" w:eastAsia="zh-CN"/>
              </w:rPr>
              <w:t>20分）</w:t>
            </w:r>
          </w:p>
        </w:tc>
      </w:tr>
      <w:tr w14:paraId="00162BC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30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04194EB6">
            <w:pPr>
              <w:pStyle w:val="5"/>
              <w:spacing w:line="360" w:lineRule="auto"/>
              <w:ind w:left="138" w:right="96" w:firstLine="2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形式多样、循序渐进，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充分体现过程性评价，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为教师跟踪学生学习</w:t>
            </w:r>
            <w:r>
              <w:rPr>
                <w:rFonts w:ascii="Times New Roman" w:hAnsi="Times New Roman" w:cs="Times New Roman"/>
                <w:spacing w:val="-9"/>
                <w:sz w:val="32"/>
                <w:szCs w:val="32"/>
                <w:lang w:eastAsia="zh-CN"/>
              </w:rPr>
              <w:t>进展提供支持，注重使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用数据或材料证明混</w:t>
            </w:r>
            <w:r>
              <w:rPr>
                <w:rFonts w:ascii="Times New Roman" w:hAnsi="Times New Roman" w:cs="Times New Roman"/>
                <w:spacing w:val="-6"/>
                <w:sz w:val="32"/>
                <w:szCs w:val="32"/>
                <w:lang w:eastAsia="zh-CN"/>
              </w:rPr>
              <w:t>合式教学效果。</w:t>
            </w:r>
          </w:p>
        </w:tc>
        <w:tc>
          <w:tcPr>
            <w:tcW w:w="6520" w:type="dxa"/>
            <w:vAlign w:val="center"/>
          </w:tcPr>
          <w:p w14:paraId="59ED4FAB">
            <w:pPr>
              <w:pStyle w:val="5"/>
              <w:spacing w:line="360" w:lineRule="auto"/>
              <w:ind w:left="134" w:right="86" w:firstLine="3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4.1 评价方式多元，评价手段契合教学目标，强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化促进教学目标达成的探究式、论文式、报告答辩式等作业评价方式，加强非标准化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、综合性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等评价。评价严格，具有科学合理的学习评价方法和标准，对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提高学生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学习成效有明显促进作用。</w:t>
            </w:r>
          </w:p>
        </w:tc>
      </w:tr>
      <w:tr w14:paraId="0BB956E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6D99AD1B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3B92D9C6">
            <w:pPr>
              <w:pStyle w:val="5"/>
              <w:spacing w:line="360" w:lineRule="auto"/>
              <w:ind w:left="132" w:right="28" w:firstLine="6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4"/>
                <w:sz w:val="32"/>
                <w:szCs w:val="32"/>
                <w:lang w:eastAsia="zh-CN"/>
              </w:rPr>
              <w:t>4.2 线上、线下学习评价连贯完整，系统收集过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程性和结果性数据，开</w:t>
            </w:r>
            <w:r>
              <w:rPr>
                <w:rFonts w:ascii="Times New Roman" w:hAnsi="Times New Roman" w:cs="Times New Roman"/>
                <w:spacing w:val="-20"/>
                <w:sz w:val="32"/>
                <w:szCs w:val="32"/>
                <w:lang w:eastAsia="zh-CN"/>
              </w:rPr>
              <w:t>展基于数据的教学诊断、教学反思和教学改进，过程可</w:t>
            </w:r>
            <w:r>
              <w:rPr>
                <w:rFonts w:ascii="Times New Roman" w:hAnsi="Times New Roman" w:cs="Times New Roman"/>
                <w:spacing w:val="-21"/>
                <w:sz w:val="32"/>
                <w:szCs w:val="32"/>
                <w:lang w:eastAsia="zh-CN"/>
              </w:rPr>
              <w:t>回溯，反馈及时，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有效解决了教改重点问题。</w:t>
            </w:r>
          </w:p>
        </w:tc>
      </w:tr>
      <w:tr w14:paraId="40949EE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46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60468FF6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0E0DC03D">
            <w:pPr>
              <w:pStyle w:val="5"/>
              <w:spacing w:line="360" w:lineRule="auto"/>
              <w:ind w:left="134" w:right="1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9"/>
                <w:sz w:val="32"/>
                <w:szCs w:val="32"/>
                <w:lang w:eastAsia="zh-CN"/>
              </w:rPr>
              <w:t>4.3 有效达成教学目标，学生的专业认同感、课程参与度、学习获得感、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数字化学习能力、课程及教师教学满意度等方面产生了良好的效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果，并</w:t>
            </w: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提供科学合理的佐证。</w:t>
            </w:r>
          </w:p>
        </w:tc>
      </w:tr>
      <w:tr w14:paraId="58BE12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81" w:hRule="atLeast"/>
        </w:trPr>
        <w:tc>
          <w:tcPr>
            <w:tcW w:w="8642" w:type="dxa"/>
            <w:gridSpan w:val="2"/>
            <w:shd w:val="clear" w:color="auto" w:fill="E5E5E5"/>
            <w:vAlign w:val="center"/>
          </w:tcPr>
          <w:p w14:paraId="20A0ED58">
            <w:pPr>
              <w:pStyle w:val="5"/>
              <w:spacing w:line="360" w:lineRule="auto"/>
              <w:ind w:left="252"/>
              <w:rPr>
                <w:rFonts w:hint="default" w:ascii="Times New Roman" w:hAnsi="Times New Roman" w:eastAsia="仿宋" w:cs="Times New Roman"/>
                <w:sz w:val="32"/>
                <w:szCs w:val="32"/>
                <w:lang w:val="en-US" w:eastAsia="zh-CN"/>
              </w:rPr>
            </w:pPr>
            <w:r>
              <w:rPr>
                <w:rFonts w:ascii="Times New Roman" w:hAnsi="Times New Roman" w:cs="Times New Roman"/>
                <w:b/>
                <w:bCs/>
                <w:spacing w:val="-4"/>
                <w:sz w:val="32"/>
                <w:szCs w:val="32"/>
              </w:rPr>
              <w:t>5.特色创新与影响力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32"/>
                <w:szCs w:val="32"/>
                <w:lang w:eastAsia="zh-CN"/>
              </w:rPr>
              <w:t>（</w:t>
            </w:r>
            <w:r>
              <w:rPr>
                <w:rFonts w:hint="eastAsia" w:ascii="Times New Roman" w:hAnsi="Times New Roman" w:cs="Times New Roman"/>
                <w:b/>
                <w:bCs/>
                <w:spacing w:val="-4"/>
                <w:sz w:val="32"/>
                <w:szCs w:val="32"/>
                <w:lang w:val="en-US" w:eastAsia="zh-CN"/>
              </w:rPr>
              <w:t>20分）</w:t>
            </w:r>
          </w:p>
        </w:tc>
      </w:tr>
      <w:tr w14:paraId="103EA1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0" w:hRule="atLeast"/>
        </w:trPr>
        <w:tc>
          <w:tcPr>
            <w:tcW w:w="2122" w:type="dxa"/>
            <w:vMerge w:val="restart"/>
            <w:tcBorders>
              <w:bottom w:val="nil"/>
            </w:tcBorders>
            <w:vAlign w:val="center"/>
          </w:tcPr>
          <w:p w14:paraId="5E5C7051">
            <w:pPr>
              <w:pStyle w:val="5"/>
              <w:spacing w:line="360" w:lineRule="auto"/>
              <w:ind w:left="137" w:right="96" w:firstLine="4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0"/>
                <w:sz w:val="32"/>
                <w:szCs w:val="32"/>
                <w:lang w:eastAsia="zh-CN"/>
              </w:rPr>
              <w:t>课程设计新颖独特，有</w:t>
            </w:r>
            <w:r>
              <w:rPr>
                <w:rFonts w:ascii="Times New Roman" w:hAnsi="Times New Roman" w:cs="Times New Roman"/>
                <w:spacing w:val="16"/>
                <w:sz w:val="32"/>
                <w:szCs w:val="32"/>
                <w:lang w:eastAsia="zh-CN"/>
              </w:rPr>
              <w:t>较大的借鉴和推广价</w:t>
            </w:r>
            <w:r>
              <w:rPr>
                <w:rFonts w:ascii="Times New Roman" w:hAnsi="Times New Roman" w:cs="Times New Roman"/>
                <w:spacing w:val="5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值。</w:t>
            </w:r>
          </w:p>
        </w:tc>
        <w:tc>
          <w:tcPr>
            <w:tcW w:w="6520" w:type="dxa"/>
            <w:vAlign w:val="center"/>
          </w:tcPr>
          <w:p w14:paraId="1B4DBC54">
            <w:pPr>
              <w:pStyle w:val="5"/>
              <w:spacing w:line="360" w:lineRule="auto"/>
              <w:ind w:left="134" w:right="86" w:firstLine="10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5.1 在价值塑造、知识传授、能力培养等方面一体化设计，能够充分体现课程的育人理念和特点，富有科学性、思想性、时代性，专业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特色鲜</w:t>
            </w:r>
            <w:r>
              <w:rPr>
                <w:rFonts w:ascii="Times New Roman" w:hAnsi="Times New Roman" w:cs="Times New Roman"/>
                <w:sz w:val="32"/>
                <w:szCs w:val="32"/>
                <w:lang w:eastAsia="zh-CN"/>
              </w:rPr>
              <w:t xml:space="preserve"> </w:t>
            </w:r>
            <w:r>
              <w:rPr>
                <w:rFonts w:ascii="Times New Roman" w:hAnsi="Times New Roman" w:cs="Times New Roman"/>
                <w:spacing w:val="-8"/>
                <w:sz w:val="32"/>
                <w:szCs w:val="32"/>
                <w:lang w:eastAsia="zh-CN"/>
              </w:rPr>
              <w:t>明。</w:t>
            </w:r>
          </w:p>
        </w:tc>
      </w:tr>
      <w:tr w14:paraId="0A3E3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1" w:hRule="atLeast"/>
        </w:trPr>
        <w:tc>
          <w:tcPr>
            <w:tcW w:w="2122" w:type="dxa"/>
            <w:vMerge w:val="continue"/>
            <w:tcBorders>
              <w:top w:val="nil"/>
              <w:bottom w:val="nil"/>
            </w:tcBorders>
            <w:vAlign w:val="center"/>
          </w:tcPr>
          <w:p w14:paraId="4DC1EF4A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2405B6B0">
            <w:pPr>
              <w:pStyle w:val="5"/>
              <w:spacing w:line="360" w:lineRule="auto"/>
              <w:ind w:left="136" w:right="86" w:firstLine="7"/>
              <w:jc w:val="both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5.2 在学情与目标、内容与资源、过程与方法、评价与反馈等方面提出了具体举措，具有较强的针对性和可操作性，课程设计和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做法具有独特</w:t>
            </w:r>
            <w:r>
              <w:rPr>
                <w:rFonts w:ascii="Times New Roman" w:hAnsi="Times New Roman" w:cs="Times New Roman"/>
                <w:spacing w:val="-12"/>
                <w:sz w:val="32"/>
                <w:szCs w:val="32"/>
                <w:lang w:eastAsia="zh-CN"/>
              </w:rPr>
              <w:t>创新。</w:t>
            </w:r>
          </w:p>
        </w:tc>
      </w:tr>
      <w:tr w14:paraId="0516258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6" w:hRule="atLeast"/>
        </w:trPr>
        <w:tc>
          <w:tcPr>
            <w:tcW w:w="2122" w:type="dxa"/>
            <w:vMerge w:val="continue"/>
            <w:tcBorders>
              <w:top w:val="nil"/>
            </w:tcBorders>
            <w:vAlign w:val="center"/>
          </w:tcPr>
          <w:p w14:paraId="1005D528">
            <w:pPr>
              <w:spacing w:line="360" w:lineRule="auto"/>
              <w:rPr>
                <w:rFonts w:ascii="Times New Roman" w:hAnsi="Times New Roman" w:eastAsia="仿宋" w:cs="Times New Roman"/>
                <w:sz w:val="32"/>
                <w:szCs w:val="32"/>
                <w:lang w:eastAsia="zh-CN"/>
              </w:rPr>
            </w:pPr>
          </w:p>
        </w:tc>
        <w:tc>
          <w:tcPr>
            <w:tcW w:w="6520" w:type="dxa"/>
            <w:vAlign w:val="center"/>
          </w:tcPr>
          <w:p w14:paraId="4ACF12EF">
            <w:pPr>
              <w:pStyle w:val="5"/>
              <w:spacing w:line="360" w:lineRule="auto"/>
              <w:ind w:left="137" w:right="86" w:firstLine="6"/>
              <w:rPr>
                <w:rFonts w:ascii="Times New Roman" w:hAnsi="Times New Roman" w:cs="Times New Roman"/>
                <w:sz w:val="32"/>
                <w:szCs w:val="32"/>
                <w:lang w:eastAsia="zh-CN"/>
              </w:rPr>
            </w:pPr>
            <w:r>
              <w:rPr>
                <w:rFonts w:ascii="Times New Roman" w:hAnsi="Times New Roman" w:cs="Times New Roman"/>
                <w:spacing w:val="-15"/>
                <w:sz w:val="32"/>
                <w:szCs w:val="32"/>
                <w:lang w:eastAsia="zh-CN"/>
              </w:rPr>
              <w:t>5.3 具有一定程度的示范辐射与推广价值，为其他教师开展课程教学改</w:t>
            </w:r>
            <w:r>
              <w:rPr>
                <w:rFonts w:ascii="Times New Roman" w:hAnsi="Times New Roman" w:cs="Times New Roman"/>
                <w:spacing w:val="-16"/>
                <w:sz w:val="32"/>
                <w:szCs w:val="32"/>
                <w:lang w:eastAsia="zh-CN"/>
              </w:rPr>
              <w:t>革与创新，提供理论参考和实践借鉴。</w:t>
            </w:r>
          </w:p>
        </w:tc>
      </w:tr>
    </w:tbl>
    <w:p w14:paraId="60DCE96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1" w:fontKey="{6B7EA6B8-F435-4361-8932-2EA9A058DFB6}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  <w:embedRegular r:id="rId2" w:fontKey="{E1982733-4856-41A4-A01A-3428E5F5C162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3" w:fontKey="{E79CC04A-6714-4134-A78D-04CD525775B1}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  <w:embedRegular r:id="rId4" w:fontKey="{61622D63-15BE-49A5-B3FA-62935CA38C65}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AD1696F"/>
    <w:rsid w:val="09290903"/>
    <w:rsid w:val="137F064B"/>
    <w:rsid w:val="2B6007B5"/>
    <w:rsid w:val="3AD1696F"/>
    <w:rsid w:val="3D7C3140"/>
    <w:rsid w:val="783522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textAlignment w:val="baseline"/>
    </w:pPr>
    <w:rPr>
      <w:rFonts w:ascii="Arial" w:hAnsi="Arial" w:cs="Arial" w:eastAsiaTheme="minorEastAsia"/>
      <w:snapToGrid w:val="0"/>
      <w:color w:val="000000"/>
      <w:sz w:val="21"/>
      <w:szCs w:val="21"/>
      <w:lang w:val="en-US" w:eastAsia="en-US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5">
    <w:name w:val="Table Text"/>
    <w:basedOn w:val="1"/>
    <w:semiHidden/>
    <w:qFormat/>
    <w:uiPriority w:val="0"/>
    <w:rPr>
      <w:rFonts w:ascii="仿宋" w:hAnsi="仿宋" w:eastAsia="仿宋" w:cs="仿宋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883</Words>
  <Characters>903</Characters>
  <Lines>0</Lines>
  <Paragraphs>0</Paragraphs>
  <TotalTime>0</TotalTime>
  <ScaleCrop>false</ScaleCrop>
  <LinksUpToDate>false</LinksUpToDate>
  <CharactersWithSpaces>918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2025-06-11T09:42:00Z</dcterms:created>
  <dc:creator>王梦丹</dc:creator>
  <cp:lastModifiedBy>charlene</cp:lastModifiedBy>
  <dcterms:modified xsi:type="dcterms:W3CDTF">2026-06-29T03:27:45Z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3C33E6519CCB4383841B89DACDC761FF_13</vt:lpwstr>
  </property>
  <property fmtid="{D5CDD505-2E9C-101B-9397-08002B2CF9AE}" pid="4" name="KSOTemplateDocerSaveRecord">
    <vt:lpwstr>eyJoZGlkIjoiYjY5NDJmOTA0NDZkOGYwYzNmYzg5YTM4ZTJiYzU0NzMiLCJ1c2VySWQiOiIxMTcxMTA5Nzk4In0=</vt:lpwstr>
  </property>
</Properties>
</file>