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rPr>
          <w:rFonts w:hint="eastAsia"/>
          <w:lang w:val="en-US" w:eastAsia="zh-CN"/>
        </w:rPr>
        <w:t>2022版</w:t>
      </w:r>
      <w:r>
        <w:rPr>
          <w:rFonts w:hint="eastAsia"/>
        </w:rPr>
        <w:t>机器人工程专业人才培养方案</w:t>
      </w:r>
    </w:p>
    <w:p>
      <w:pPr>
        <w:pStyle w:val="9"/>
        <w:spacing w:after="326"/>
      </w:pPr>
      <w:r>
        <w:rPr>
          <w:rFonts w:hint="eastAsia"/>
        </w:rPr>
        <w:t>专业代码：080803T</w:t>
      </w:r>
    </w:p>
    <w:p>
      <w:pPr>
        <w:pStyle w:val="2"/>
        <w:spacing w:before="163"/>
      </w:pPr>
      <w:r>
        <w:rPr>
          <w:rFonts w:hint="eastAsia"/>
        </w:rPr>
        <w:t>一、专业概述</w:t>
      </w:r>
    </w:p>
    <w:p>
      <w:pPr>
        <w:ind w:firstLine="480"/>
        <w:rPr>
          <w:rFonts w:cs="Times New Roman"/>
        </w:rPr>
      </w:pPr>
      <w:r>
        <w:rPr>
          <w:rFonts w:hint="eastAsia" w:cs="Times New Roman"/>
        </w:rPr>
        <w:t>本专业是自动化学科类所设置的专业，该专业是根据国际上学科发展动态、面向新一代机器人技术发展需求的专业，其理论体系由基础理论、主体理论和相关理论三部分构成，兼容了工程科学、自然科学、社会科学</w:t>
      </w:r>
      <w:bookmarkStart w:id="0" w:name="_GoBack"/>
      <w:bookmarkEnd w:id="0"/>
      <w:r>
        <w:rPr>
          <w:rFonts w:hint="eastAsia" w:cs="Times New Roman"/>
        </w:rPr>
        <w:t>和人文科学的理论内容与技术方法，具有机械工程、电子工程、控制科学与工程、计算机科学与工程、生物医学工程、材料科学与工程、系统工程等多学科交叉融合的特征。</w:t>
      </w:r>
    </w:p>
    <w:p>
      <w:pPr>
        <w:pStyle w:val="2"/>
        <w:spacing w:before="163"/>
        <w:rPr>
          <w:rFonts w:cs="宋体"/>
        </w:rPr>
      </w:pPr>
      <w:r>
        <w:rPr>
          <w:rFonts w:hint="eastAsia"/>
        </w:rPr>
        <w:t>二、培养目标</w:t>
      </w:r>
    </w:p>
    <w:p>
      <w:pPr>
        <w:ind w:firstLine="480"/>
      </w:pPr>
      <w:r>
        <w:rPr>
          <w:rFonts w:hint="eastAsia" w:cs="Times New Roman"/>
        </w:rPr>
        <w:t>在习近平新时代中国特色社会主义思想指导下，根据学校办学定位，本专业培养适应我国现代化建设过程中智能制造、产业升级和人们现代生活方式智能化发展需要的德、智、体全面发展，掌握基本理论知识和专业技能，具有，能等方面工作的高素质技术创新型人才。</w:t>
      </w:r>
    </w:p>
    <w:p>
      <w:pPr>
        <w:ind w:firstLine="480"/>
        <w:rPr>
          <w:rFonts w:cs="仿宋"/>
        </w:rPr>
      </w:pPr>
      <w:r>
        <w:rPr>
          <w:rFonts w:cs="仿宋"/>
        </w:rPr>
        <w:t>1</w:t>
      </w:r>
      <w:r>
        <w:rPr>
          <w:rFonts w:hint="eastAsia" w:cs="仿宋"/>
        </w:rPr>
        <w:t>．扎实的基础知识：培养学生掌握</w:t>
      </w:r>
      <w:r>
        <w:rPr>
          <w:rFonts w:hint="eastAsia" w:cs="Times New Roman"/>
        </w:rPr>
        <w:t>机器人工程领域相关的</w:t>
      </w:r>
      <w:r>
        <w:rPr>
          <w:rFonts w:hint="eastAsia" w:cs="仿宋"/>
        </w:rPr>
        <w:t>的专业基础知识、基本理论和方法，具备</w:t>
      </w:r>
      <w:r>
        <w:rPr>
          <w:rFonts w:hint="eastAsia" w:cs="Times New Roman"/>
        </w:rPr>
        <w:t>在机器人相关领域从事工程设计、技术产品开发、系统集成、安装调试、运行维护</w:t>
      </w:r>
      <w:r>
        <w:rPr>
          <w:rFonts w:hint="eastAsia" w:cs="仿宋"/>
        </w:rPr>
        <w:t>等方面的知识技能。</w:t>
      </w:r>
    </w:p>
    <w:p>
      <w:pPr>
        <w:ind w:firstLine="480"/>
        <w:rPr>
          <w:rFonts w:cs="仿宋"/>
        </w:rPr>
      </w:pPr>
      <w:r>
        <w:rPr>
          <w:rFonts w:cs="仿宋"/>
        </w:rPr>
        <w:t>2</w:t>
      </w:r>
      <w:r>
        <w:rPr>
          <w:rFonts w:hint="eastAsia" w:cs="仿宋"/>
        </w:rPr>
        <w:t>．解决问题能力：培养学生能够运用本专业领域中工程设计、建模、控制、优化、检测的基本理论和知识，创造性、综合性地解决</w:t>
      </w:r>
      <w:r>
        <w:rPr>
          <w:rFonts w:hint="eastAsia" w:cs="Times New Roman"/>
        </w:rPr>
        <w:t>解决机器人复杂工程实际问题的初步能力</w:t>
      </w:r>
      <w:r>
        <w:rPr>
          <w:rFonts w:hint="eastAsia" w:cs="仿宋"/>
        </w:rPr>
        <w:t>。</w:t>
      </w:r>
    </w:p>
    <w:p>
      <w:pPr>
        <w:ind w:firstLine="480"/>
        <w:rPr>
          <w:rFonts w:cs="仿宋"/>
        </w:rPr>
      </w:pPr>
      <w:r>
        <w:rPr>
          <w:rFonts w:cs="仿宋"/>
        </w:rPr>
        <w:t>3</w:t>
      </w:r>
      <w:r>
        <w:rPr>
          <w:rFonts w:hint="eastAsia" w:cs="仿宋"/>
        </w:rPr>
        <w:t>．团队合作与领导能力：培养学生在团队中的沟通和合作能力，进而能够具备机器人工程领域的技术开发、运行管理的领导能力。</w:t>
      </w:r>
    </w:p>
    <w:p>
      <w:pPr>
        <w:ind w:firstLine="480"/>
        <w:rPr>
          <w:rFonts w:cs="仿宋"/>
        </w:rPr>
      </w:pPr>
      <w:r>
        <w:rPr>
          <w:rFonts w:cs="仿宋"/>
        </w:rPr>
        <w:t>4</w:t>
      </w:r>
      <w:r>
        <w:rPr>
          <w:rFonts w:hint="eastAsia" w:cs="仿宋"/>
        </w:rPr>
        <w:t>．终身学习能力：毕业生能够胜任机器人工程领域的技术开发、工程设计、</w:t>
      </w:r>
      <w:r>
        <w:rPr>
          <w:rFonts w:hint="eastAsia" w:cs="Times New Roman"/>
        </w:rPr>
        <w:t>系统集成、系统安装调试、运行管理与维护的</w:t>
      </w:r>
      <w:r>
        <w:rPr>
          <w:rFonts w:hint="eastAsia" w:cs="仿宋"/>
        </w:rPr>
        <w:t>工作，具备自主学习和终身学习的意识，有不断学习和适应发展的能力。</w:t>
      </w:r>
    </w:p>
    <w:p>
      <w:pPr>
        <w:pStyle w:val="2"/>
        <w:spacing w:before="163"/>
        <w:rPr>
          <w:rFonts w:cs="宋体"/>
        </w:rPr>
      </w:pPr>
      <w:r>
        <w:rPr>
          <w:rFonts w:hint="eastAsia"/>
        </w:rPr>
        <w:t>三、培养规格</w:t>
      </w:r>
    </w:p>
    <w:p>
      <w:pPr>
        <w:ind w:firstLine="482"/>
      </w:pPr>
      <w:r>
        <w:rPr>
          <w:rFonts w:hint="eastAsia"/>
          <w:b/>
        </w:rPr>
        <w:t>学制：</w:t>
      </w:r>
      <w:r>
        <w:rPr>
          <w:rFonts w:hint="eastAsia" w:ascii="宋体" w:hAnsi="宋体"/>
        </w:rPr>
        <w:t>标准学制4年,</w:t>
      </w:r>
      <w:r>
        <w:rPr>
          <w:rFonts w:hint="eastAsia"/>
        </w:rPr>
        <w:t>弹性学制</w:t>
      </w:r>
      <w:r>
        <w:t>4-7</w:t>
      </w:r>
      <w:r>
        <w:rPr>
          <w:rFonts w:hint="eastAsia"/>
        </w:rPr>
        <w:t>年。对于因成绩或读辅修专业等原因的学生，可适当延长修业年限，修业年限最长不得超过</w:t>
      </w:r>
      <w:r>
        <w:t>7</w:t>
      </w:r>
      <w:r>
        <w:rPr>
          <w:rFonts w:hint="eastAsia"/>
        </w:rPr>
        <w:t>年。</w:t>
      </w:r>
    </w:p>
    <w:p>
      <w:pPr>
        <w:ind w:firstLine="482"/>
      </w:pPr>
      <w:r>
        <w:rPr>
          <w:rFonts w:hint="eastAsia"/>
          <w:b/>
        </w:rPr>
        <w:t>本专业主干学科：</w:t>
      </w:r>
      <w:r>
        <w:rPr>
          <w:rFonts w:hint="eastAsia"/>
        </w:rPr>
        <w:t>。</w:t>
      </w:r>
    </w:p>
    <w:p>
      <w:pPr>
        <w:ind w:firstLine="482"/>
      </w:pPr>
      <w:r>
        <w:rPr>
          <w:rFonts w:hint="eastAsia"/>
          <w:b/>
        </w:rPr>
        <w:t>学位：</w:t>
      </w:r>
      <w:r>
        <w:rPr>
          <w:rFonts w:hint="eastAsia"/>
        </w:rPr>
        <w:t>授予</w:t>
      </w:r>
      <w:r>
        <w:rPr>
          <w:rFonts w:hint="eastAsia"/>
          <w:shd w:val="clear" w:color="auto" w:fill="FFFFFF"/>
        </w:rPr>
        <w:t>工学</w:t>
      </w:r>
      <w:r>
        <w:rPr>
          <w:rFonts w:hint="eastAsia"/>
        </w:rPr>
        <w:t>学士学位。</w:t>
      </w:r>
    </w:p>
    <w:p>
      <w:pPr>
        <w:ind w:firstLine="482"/>
        <w:rPr>
          <w:b/>
          <w:kern w:val="0"/>
        </w:rPr>
      </w:pPr>
      <w:r>
        <w:rPr>
          <w:rFonts w:hint="eastAsia"/>
          <w:b/>
          <w:kern w:val="0"/>
        </w:rPr>
        <w:t>毕业要求：</w:t>
      </w:r>
    </w:p>
    <w:p>
      <w:pPr>
        <w:ind w:firstLine="480"/>
        <w:rPr>
          <w:kern w:val="0"/>
        </w:rPr>
      </w:pPr>
      <w:r>
        <w:rPr>
          <w:rFonts w:cs="仿宋"/>
        </w:rPr>
        <w:t>1</w:t>
      </w:r>
      <w:r>
        <w:rPr>
          <w:rFonts w:hint="eastAsia" w:cs="仿宋"/>
        </w:rPr>
        <w:t>．</w:t>
      </w:r>
      <w:r>
        <w:rPr>
          <w:rFonts w:hint="eastAsia"/>
          <w:kern w:val="0"/>
        </w:rPr>
        <w:t>完成的总学分不低于168.5学分（其中必修课138.5学分，选修课27学分）。通识选修课中经管类、美育类、工程技术类三类课程至少选修一门；</w:t>
      </w:r>
    </w:p>
    <w:p>
      <w:pPr>
        <w:ind w:firstLine="480"/>
      </w:pPr>
      <w:r>
        <w:rPr>
          <w:rFonts w:cs="仿宋"/>
        </w:rPr>
        <w:t>2</w:t>
      </w:r>
      <w:r>
        <w:rPr>
          <w:rFonts w:hint="eastAsia" w:cs="仿宋"/>
        </w:rPr>
        <w:t>．符合广州华立学院学位授予条例有关规定，通过学位评定委员会审定，才能获得本专业认可的学士学位。</w:t>
      </w:r>
    </w:p>
    <w:p>
      <w:pPr>
        <w:pStyle w:val="2"/>
        <w:spacing w:before="163"/>
      </w:pPr>
      <w:r>
        <w:rPr>
          <w:rFonts w:hint="eastAsia"/>
        </w:rPr>
        <w:t>四、人才培养基本要求</w:t>
      </w:r>
    </w:p>
    <w:p>
      <w:pPr>
        <w:pStyle w:val="3"/>
      </w:pPr>
      <w:r>
        <w:rPr>
          <w:rFonts w:hint="eastAsia"/>
        </w:rPr>
        <w:t>（一）知识架构</w:t>
      </w:r>
    </w:p>
    <w:p>
      <w:pPr>
        <w:ind w:firstLine="480"/>
        <w:rPr>
          <w:rFonts w:cs="仿宋"/>
        </w:rPr>
      </w:pPr>
      <w:r>
        <w:rPr>
          <w:rFonts w:cs="仿宋"/>
        </w:rPr>
        <w:t>1</w:t>
      </w:r>
      <w:r>
        <w:rPr>
          <w:rFonts w:hint="eastAsia" w:cs="仿宋"/>
        </w:rPr>
        <w:t>．通识性知识：具备一定的文学、历史、哲学、艺术、管理、法律等方面的知识；了解人类文明发展和世界优秀思想文化；掌握社会科学、自然科学和现代科技的基础知识和前沿知识。</w:t>
      </w:r>
    </w:p>
    <w:p>
      <w:pPr>
        <w:ind w:firstLine="480"/>
        <w:rPr>
          <w:rFonts w:cs="仿宋"/>
        </w:rPr>
      </w:pPr>
      <w:r>
        <w:rPr>
          <w:rFonts w:cs="仿宋"/>
        </w:rPr>
        <w:t>2</w:t>
      </w:r>
      <w:r>
        <w:rPr>
          <w:rFonts w:hint="eastAsia" w:cs="仿宋"/>
        </w:rPr>
        <w:t>．工具性知识：具备从事本专业所必需的外语、计算机、互联网等相关知识；熟练掌握资料查询、数据库应用、文献检索、利用网络获取信息的方法，并具有初步的论文写作能力。</w:t>
      </w:r>
    </w:p>
    <w:p>
      <w:pPr>
        <w:ind w:firstLine="480"/>
        <w:rPr>
          <w:rFonts w:cs="仿宋"/>
        </w:rPr>
      </w:pPr>
      <w:r>
        <w:rPr>
          <w:rFonts w:cs="仿宋"/>
        </w:rPr>
        <w:t>3</w:t>
      </w:r>
      <w:r>
        <w:rPr>
          <w:rFonts w:hint="eastAsia" w:cs="仿宋"/>
        </w:rPr>
        <w:t>．学科基础知识：具备一定的</w:t>
      </w:r>
      <w:r>
        <w:rPr>
          <w:rFonts w:hint="eastAsia"/>
        </w:rPr>
        <w:t>从事机器人领域工作所需的数学、物理等自然科学</w:t>
      </w:r>
      <w:r>
        <w:rPr>
          <w:rFonts w:hint="eastAsia" w:cs="仿宋"/>
        </w:rPr>
        <w:t>的基础知识；扎实掌握机械设计、</w:t>
      </w:r>
      <w:r>
        <w:rPr>
          <w:rFonts w:hint="eastAsia"/>
        </w:rPr>
        <w:t>电路理论、电子技术等专业</w:t>
      </w:r>
      <w:r>
        <w:rPr>
          <w:rFonts w:hint="eastAsia" w:cs="仿宋"/>
        </w:rPr>
        <w:t>基础理论、基本知识和基本技能。</w:t>
      </w:r>
    </w:p>
    <w:p>
      <w:pPr>
        <w:ind w:firstLine="480"/>
        <w:rPr>
          <w:rFonts w:cs="仿宋"/>
        </w:rPr>
      </w:pPr>
      <w:r>
        <w:rPr>
          <w:rFonts w:cs="仿宋"/>
        </w:rPr>
        <w:t>4</w:t>
      </w:r>
      <w:r>
        <w:rPr>
          <w:rFonts w:hint="eastAsia" w:cs="仿宋"/>
        </w:rPr>
        <w:t>．专业性知识：掌握</w:t>
      </w:r>
      <w:r>
        <w:rPr>
          <w:rFonts w:hint="eastAsia"/>
        </w:rPr>
        <w:t>本专业自动控制原理、检测技术与仪表、计算机硬件与软件技术、微机原理、系统设计与仿真、智能信息处理等专业知识。</w:t>
      </w:r>
    </w:p>
    <w:p>
      <w:pPr>
        <w:pStyle w:val="3"/>
      </w:pPr>
      <w:r>
        <w:rPr>
          <w:rFonts w:hint="eastAsia"/>
        </w:rPr>
        <w:t>（二）能力要求</w:t>
      </w:r>
    </w:p>
    <w:p>
      <w:pPr>
        <w:ind w:firstLine="480"/>
        <w:rPr>
          <w:rFonts w:cs="仿宋"/>
        </w:rPr>
      </w:pPr>
      <w:r>
        <w:rPr>
          <w:rFonts w:cs="仿宋"/>
        </w:rPr>
        <w:t>1</w:t>
      </w:r>
      <w:r>
        <w:rPr>
          <w:rFonts w:hint="eastAsia" w:cs="仿宋"/>
        </w:rPr>
        <w:t>．获取专业和相关理论知识和方法的学习能力；</w:t>
      </w:r>
    </w:p>
    <w:p>
      <w:pPr>
        <w:ind w:firstLine="480"/>
        <w:rPr>
          <w:rFonts w:cs="仿宋"/>
        </w:rPr>
      </w:pPr>
      <w:r>
        <w:rPr>
          <w:rFonts w:cs="仿宋"/>
        </w:rPr>
        <w:t>2</w:t>
      </w:r>
      <w:r>
        <w:rPr>
          <w:rFonts w:hint="eastAsia" w:cs="仿宋"/>
        </w:rPr>
        <w:t>．专业性思维和专业知识方法的运用能力；</w:t>
      </w:r>
    </w:p>
    <w:p>
      <w:pPr>
        <w:ind w:firstLine="480"/>
        <w:rPr>
          <w:rFonts w:cs="仿宋"/>
        </w:rPr>
      </w:pPr>
      <w:r>
        <w:rPr>
          <w:rFonts w:cs="仿宋"/>
        </w:rPr>
        <w:t>3</w:t>
      </w:r>
      <w:r>
        <w:rPr>
          <w:rFonts w:hint="eastAsia" w:cs="仿宋"/>
        </w:rPr>
        <w:t>．发现、分析和解决问题的能力；</w:t>
      </w:r>
    </w:p>
    <w:p>
      <w:pPr>
        <w:ind w:firstLine="480"/>
        <w:rPr>
          <w:rFonts w:cs="仿宋"/>
        </w:rPr>
      </w:pPr>
      <w:r>
        <w:rPr>
          <w:rFonts w:cs="仿宋"/>
        </w:rPr>
        <w:t>4</w:t>
      </w:r>
      <w:r>
        <w:rPr>
          <w:rFonts w:hint="eastAsia" w:cs="仿宋"/>
        </w:rPr>
        <w:t>．流畅的语言表达、人际沟通和写作能力；</w:t>
      </w:r>
    </w:p>
    <w:p>
      <w:pPr>
        <w:ind w:firstLine="480"/>
        <w:rPr>
          <w:rFonts w:cs="仿宋"/>
        </w:rPr>
      </w:pPr>
      <w:r>
        <w:rPr>
          <w:rFonts w:cs="仿宋"/>
        </w:rPr>
        <w:t>5</w:t>
      </w:r>
      <w:r>
        <w:rPr>
          <w:rFonts w:hint="eastAsia" w:cs="仿宋"/>
        </w:rPr>
        <w:t>．创造性思维和开拓创新创业能力；</w:t>
      </w:r>
    </w:p>
    <w:p>
      <w:pPr>
        <w:ind w:firstLine="480"/>
        <w:rPr>
          <w:rFonts w:cs="仿宋"/>
        </w:rPr>
      </w:pPr>
      <w:r>
        <w:rPr>
          <w:rFonts w:cs="仿宋"/>
        </w:rPr>
        <w:t>6</w:t>
      </w:r>
      <w:r>
        <w:rPr>
          <w:rFonts w:hint="eastAsia" w:cs="仿宋"/>
        </w:rPr>
        <w:t>．组织管理能力；</w:t>
      </w:r>
    </w:p>
    <w:p>
      <w:pPr>
        <w:pStyle w:val="3"/>
      </w:pPr>
      <w:r>
        <w:rPr>
          <w:rFonts w:hint="eastAsia"/>
        </w:rPr>
        <w:t>（三）素质要求</w:t>
      </w:r>
    </w:p>
    <w:p>
      <w:pPr>
        <w:ind w:firstLine="480"/>
        <w:rPr>
          <w:rFonts w:cs="仿宋"/>
        </w:rPr>
      </w:pPr>
      <w:r>
        <w:rPr>
          <w:rFonts w:cs="仿宋"/>
        </w:rPr>
        <w:t>1</w:t>
      </w:r>
      <w:r>
        <w:rPr>
          <w:rFonts w:hint="eastAsia" w:cs="仿宋"/>
        </w:rPr>
        <w:t>．思想道德素质：具备优良的政治素养和品质；树立科学的世界观和正确的人生观；遵纪守法，诚实守信，乐于奉献；具有良好的职业操守和道德，有社会责任感。</w:t>
      </w:r>
    </w:p>
    <w:p>
      <w:pPr>
        <w:ind w:firstLine="480"/>
        <w:rPr>
          <w:rFonts w:cs="仿宋"/>
        </w:rPr>
      </w:pPr>
      <w:r>
        <w:rPr>
          <w:rFonts w:cs="仿宋"/>
        </w:rPr>
        <w:t>2</w:t>
      </w:r>
      <w:r>
        <w:rPr>
          <w:rFonts w:hint="eastAsia" w:cs="仿宋"/>
        </w:rPr>
        <w:t>．科学文化素质：具有良好的科学知识和素养；具备一定的文学、艺术素养和鉴赏能力；对中外优秀传统文化和历史有一定了解。</w:t>
      </w:r>
    </w:p>
    <w:p>
      <w:pPr>
        <w:ind w:firstLine="480"/>
        <w:rPr>
          <w:rFonts w:cs="仿宋"/>
        </w:rPr>
      </w:pPr>
      <w:r>
        <w:rPr>
          <w:rFonts w:cs="仿宋"/>
        </w:rPr>
        <w:t>3</w:t>
      </w:r>
      <w:r>
        <w:rPr>
          <w:rFonts w:hint="eastAsia" w:cs="仿宋"/>
        </w:rPr>
        <w:t>．身心素质：身体健康，达到国家体质测试标准。具备良好的心理素质较强的自我控制和自我调节能力。</w:t>
      </w:r>
    </w:p>
    <w:p>
      <w:pPr>
        <w:ind w:firstLine="480"/>
      </w:pPr>
      <w:r>
        <w:br w:type="page"/>
      </w:r>
    </w:p>
    <w:p>
      <w:pPr>
        <w:pStyle w:val="2"/>
        <w:spacing w:before="163"/>
      </w:pPr>
      <w:r>
        <w:rPr>
          <w:rFonts w:hint="eastAsia"/>
        </w:rPr>
        <w:t>五、专业主干课程</w:t>
      </w:r>
    </w:p>
    <w:p>
      <w:pPr>
        <w:ind w:firstLine="480"/>
        <w:rPr>
          <w:rFonts w:cs="仿宋"/>
        </w:rPr>
      </w:pPr>
      <w:r>
        <w:rPr>
          <w:rFonts w:hint="eastAsia" w:cs="仿宋"/>
        </w:rPr>
        <w:t>工程制图、电子技术、C语言程序设计、自动控制理论、电机与电力拖动、机械设计基础（含力学）、微机原理与接口技术、电器与可编程控制器、机器人运动学与控制、检测技术与仪表、机器视觉技术、机器人概论、机器人操作系统、液压与气压传动、机器人系统集成与实践、机器人安装调试、机器人结构设计、微机原理与单片机技术课程设计等。</w:t>
      </w:r>
    </w:p>
    <w:p>
      <w:pPr>
        <w:pStyle w:val="2"/>
        <w:spacing w:before="163"/>
      </w:pPr>
      <w:r>
        <w:rPr>
          <w:rFonts w:hint="eastAsia"/>
        </w:rPr>
        <w:t>六、课程体系学分比例</w:t>
      </w:r>
    </w:p>
    <w:tbl>
      <w:tblPr>
        <w:tblStyle w:val="1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知识</w:t>
            </w:r>
          </w:p>
          <w:p>
            <w:pPr>
              <w:pStyle w:val="39"/>
              <w:rPr>
                <w:sz w:val="24"/>
                <w:szCs w:val="24"/>
              </w:rPr>
            </w:pPr>
            <w:r>
              <w:rPr>
                <w:rFonts w:hint="eastAsia"/>
                <w:sz w:val="24"/>
                <w:szCs w:val="24"/>
              </w:rPr>
              <w:t>类别</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课程类别</w:t>
            </w:r>
          </w:p>
        </w:tc>
        <w:tc>
          <w:tcPr>
            <w:tcW w:w="1211" w:type="dxa"/>
            <w:shd w:val="clear" w:color="auto" w:fill="auto"/>
            <w:tcMar>
              <w:top w:w="15" w:type="dxa"/>
              <w:left w:w="15" w:type="dxa"/>
              <w:right w:w="15" w:type="dxa"/>
            </w:tcMar>
            <w:vAlign w:val="center"/>
          </w:tcPr>
          <w:p>
            <w:pPr>
              <w:pStyle w:val="39"/>
              <w:rPr>
                <w:sz w:val="24"/>
                <w:szCs w:val="24"/>
              </w:rPr>
            </w:pPr>
            <w:r>
              <w:rPr>
                <w:rFonts w:hint="eastAsia"/>
                <w:sz w:val="24"/>
                <w:szCs w:val="24"/>
              </w:rPr>
              <w:t>学分</w:t>
            </w:r>
          </w:p>
        </w:tc>
        <w:tc>
          <w:tcPr>
            <w:tcW w:w="1211" w:type="dxa"/>
            <w:shd w:val="clear" w:color="auto" w:fill="auto"/>
            <w:tcMar>
              <w:top w:w="15" w:type="dxa"/>
              <w:left w:w="15" w:type="dxa"/>
              <w:right w:w="15" w:type="dxa"/>
            </w:tcMar>
            <w:vAlign w:val="center"/>
          </w:tcPr>
          <w:p>
            <w:pPr>
              <w:pStyle w:val="39"/>
              <w:rPr>
                <w:sz w:val="24"/>
                <w:szCs w:val="24"/>
              </w:rPr>
            </w:pPr>
            <w:r>
              <w:rPr>
                <w:rFonts w:hint="eastAsia"/>
                <w:sz w:val="24"/>
                <w:szCs w:val="24"/>
              </w:rPr>
              <w:t>总学时</w:t>
            </w:r>
          </w:p>
        </w:tc>
        <w:tc>
          <w:tcPr>
            <w:tcW w:w="2422" w:type="dxa"/>
            <w:gridSpan w:val="2"/>
            <w:shd w:val="clear" w:color="auto" w:fill="auto"/>
            <w:tcMar>
              <w:top w:w="15" w:type="dxa"/>
              <w:left w:w="15" w:type="dxa"/>
              <w:right w:w="15" w:type="dxa"/>
            </w:tcMar>
            <w:vAlign w:val="center"/>
          </w:tcPr>
          <w:p>
            <w:pPr>
              <w:pStyle w:val="39"/>
              <w:rPr>
                <w:sz w:val="24"/>
                <w:szCs w:val="24"/>
              </w:rPr>
            </w:pPr>
            <w:r>
              <w:rPr>
                <w:rFonts w:hint="eastAsia"/>
                <w:sz w:val="24"/>
                <w:szCs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理</w:t>
            </w:r>
          </w:p>
          <w:p>
            <w:pPr>
              <w:pStyle w:val="39"/>
              <w:rPr>
                <w:sz w:val="24"/>
                <w:szCs w:val="24"/>
              </w:rPr>
            </w:pPr>
            <w:r>
              <w:rPr>
                <w:rFonts w:hint="eastAsia"/>
                <w:sz w:val="24"/>
                <w:szCs w:val="24"/>
              </w:rPr>
              <w:t>论</w:t>
            </w:r>
          </w:p>
          <w:p>
            <w:pPr>
              <w:pStyle w:val="39"/>
              <w:rPr>
                <w:sz w:val="24"/>
                <w:szCs w:val="24"/>
              </w:rPr>
            </w:pPr>
            <w:r>
              <w:rPr>
                <w:rFonts w:hint="eastAsia"/>
                <w:sz w:val="24"/>
                <w:szCs w:val="24"/>
              </w:rPr>
              <w:t>知</w:t>
            </w:r>
          </w:p>
          <w:p>
            <w:pPr>
              <w:pStyle w:val="39"/>
              <w:rPr>
                <w:sz w:val="24"/>
                <w:szCs w:val="24"/>
              </w:rPr>
            </w:pPr>
            <w:r>
              <w:rPr>
                <w:rFonts w:hint="eastAsia"/>
                <w:sz w:val="24"/>
                <w:szCs w:val="24"/>
              </w:rPr>
              <w:t>识</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通识必修课</w:t>
            </w:r>
          </w:p>
        </w:tc>
        <w:tc>
          <w:tcPr>
            <w:tcW w:w="1211" w:type="dxa"/>
            <w:shd w:val="clear" w:color="auto" w:fill="auto"/>
            <w:tcMar>
              <w:top w:w="15" w:type="dxa"/>
              <w:left w:w="15" w:type="dxa"/>
              <w:right w:w="15" w:type="dxa"/>
            </w:tcMar>
            <w:vAlign w:val="center"/>
          </w:tcPr>
          <w:p>
            <w:pPr>
              <w:pStyle w:val="13"/>
              <w:rPr>
                <w:sz w:val="24"/>
              </w:rPr>
            </w:pPr>
            <w:r>
              <w:rPr>
                <w:sz w:val="24"/>
              </w:rPr>
              <w:t>37.5</w:t>
            </w:r>
          </w:p>
        </w:tc>
        <w:tc>
          <w:tcPr>
            <w:tcW w:w="1211" w:type="dxa"/>
            <w:shd w:val="clear" w:color="auto" w:fill="auto"/>
            <w:tcMar>
              <w:top w:w="15" w:type="dxa"/>
              <w:left w:w="15" w:type="dxa"/>
              <w:right w:w="15" w:type="dxa"/>
            </w:tcMar>
            <w:vAlign w:val="center"/>
          </w:tcPr>
          <w:p>
            <w:pPr>
              <w:pStyle w:val="13"/>
              <w:rPr>
                <w:sz w:val="24"/>
              </w:rPr>
            </w:pPr>
            <w:r>
              <w:rPr>
                <w:sz w:val="24"/>
              </w:rPr>
              <w:t>666</w:t>
            </w:r>
          </w:p>
        </w:tc>
        <w:tc>
          <w:tcPr>
            <w:tcW w:w="1211" w:type="dxa"/>
            <w:shd w:val="clear" w:color="auto" w:fill="auto"/>
            <w:tcMar>
              <w:top w:w="15" w:type="dxa"/>
              <w:left w:w="15" w:type="dxa"/>
              <w:right w:w="15" w:type="dxa"/>
            </w:tcMar>
            <w:vAlign w:val="center"/>
          </w:tcPr>
          <w:p>
            <w:pPr>
              <w:pStyle w:val="13"/>
              <w:rPr>
                <w:sz w:val="24"/>
              </w:rPr>
            </w:pPr>
            <w:r>
              <w:rPr>
                <w:sz w:val="24"/>
              </w:rPr>
              <w:t>22.</w:t>
            </w:r>
            <w:r>
              <w:rPr>
                <w:rFonts w:hint="eastAsia"/>
                <w:sz w:val="24"/>
              </w:rPr>
              <w:t>7</w:t>
            </w:r>
            <w:r>
              <w:rPr>
                <w:sz w:val="24"/>
              </w:rPr>
              <w:t>%</w:t>
            </w:r>
          </w:p>
        </w:tc>
        <w:tc>
          <w:tcPr>
            <w:tcW w:w="1211" w:type="dxa"/>
            <w:vMerge w:val="restart"/>
            <w:shd w:val="clear" w:color="auto" w:fill="auto"/>
            <w:tcMar>
              <w:top w:w="15" w:type="dxa"/>
              <w:left w:w="15" w:type="dxa"/>
              <w:right w:w="15" w:type="dxa"/>
            </w:tcMar>
            <w:vAlign w:val="center"/>
          </w:tcPr>
          <w:p>
            <w:pPr>
              <w:pStyle w:val="13"/>
              <w:rPr>
                <w:sz w:val="24"/>
              </w:rPr>
            </w:pPr>
            <w:r>
              <w:rPr>
                <w:sz w:val="24"/>
              </w:rPr>
              <w:t>28.</w:t>
            </w:r>
            <w:r>
              <w:rPr>
                <w:rFonts w:hint="eastAsia"/>
                <w:sz w:val="24"/>
              </w:rPr>
              <w:t>7</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通识选修课(至少)</w:t>
            </w:r>
          </w:p>
        </w:tc>
        <w:tc>
          <w:tcPr>
            <w:tcW w:w="1211" w:type="dxa"/>
            <w:shd w:val="clear" w:color="auto" w:fill="auto"/>
            <w:tcMar>
              <w:top w:w="15" w:type="dxa"/>
              <w:left w:w="15" w:type="dxa"/>
              <w:right w:w="15" w:type="dxa"/>
            </w:tcMar>
            <w:vAlign w:val="center"/>
          </w:tcPr>
          <w:p>
            <w:pPr>
              <w:pStyle w:val="13"/>
              <w:rPr>
                <w:sz w:val="24"/>
              </w:rPr>
            </w:pPr>
            <w:r>
              <w:rPr>
                <w:sz w:val="24"/>
              </w:rPr>
              <w:t>10.0/3.0*</w:t>
            </w:r>
          </w:p>
        </w:tc>
        <w:tc>
          <w:tcPr>
            <w:tcW w:w="1211" w:type="dxa"/>
            <w:shd w:val="clear" w:color="auto" w:fill="auto"/>
            <w:tcMar>
              <w:top w:w="15" w:type="dxa"/>
              <w:left w:w="15" w:type="dxa"/>
              <w:right w:w="15" w:type="dxa"/>
            </w:tcMar>
            <w:vAlign w:val="center"/>
          </w:tcPr>
          <w:p>
            <w:pPr>
              <w:pStyle w:val="13"/>
              <w:rPr>
                <w:sz w:val="24"/>
              </w:rPr>
            </w:pPr>
            <w:r>
              <w:rPr>
                <w:sz w:val="24"/>
              </w:rPr>
              <w:t>166/48*</w:t>
            </w:r>
          </w:p>
        </w:tc>
        <w:tc>
          <w:tcPr>
            <w:tcW w:w="1211" w:type="dxa"/>
            <w:shd w:val="clear" w:color="auto" w:fill="auto"/>
            <w:tcMar>
              <w:top w:w="15" w:type="dxa"/>
              <w:left w:w="15" w:type="dxa"/>
              <w:right w:w="15" w:type="dxa"/>
            </w:tcMar>
            <w:vAlign w:val="center"/>
          </w:tcPr>
          <w:p>
            <w:pPr>
              <w:pStyle w:val="13"/>
              <w:rPr>
                <w:sz w:val="24"/>
              </w:rPr>
            </w:pPr>
            <w:r>
              <w:rPr>
                <w:rFonts w:hint="eastAsia"/>
                <w:sz w:val="24"/>
              </w:rPr>
              <w:t>6</w:t>
            </w:r>
            <w:r>
              <w:rPr>
                <w:sz w:val="24"/>
              </w:rPr>
              <w:t>.</w:t>
            </w:r>
            <w:r>
              <w:rPr>
                <w:rFonts w:hint="eastAsia"/>
                <w:sz w:val="24"/>
              </w:rPr>
              <w:t>0</w:t>
            </w:r>
            <w:r>
              <w:rPr>
                <w:sz w:val="24"/>
              </w:rPr>
              <w:t>%</w:t>
            </w:r>
          </w:p>
        </w:tc>
        <w:tc>
          <w:tcPr>
            <w:tcW w:w="1211" w:type="dxa"/>
            <w:vMerge w:val="continue"/>
            <w:shd w:val="clear" w:color="auto" w:fill="auto"/>
            <w:tcMar>
              <w:top w:w="15" w:type="dxa"/>
              <w:left w:w="15" w:type="dxa"/>
              <w:right w:w="15" w:type="dxa"/>
            </w:tcMar>
            <w:vAlign w:val="center"/>
          </w:tcPr>
          <w:p>
            <w:pPr>
              <w:pStyle w:val="13"/>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bottom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专业基础课</w:t>
            </w:r>
          </w:p>
        </w:tc>
        <w:tc>
          <w:tcPr>
            <w:tcW w:w="1211" w:type="dxa"/>
            <w:tcBorders>
              <w:bottom w:val="single" w:color="auto" w:sz="4" w:space="0"/>
            </w:tcBorders>
            <w:shd w:val="clear" w:color="auto" w:fill="auto"/>
            <w:tcMar>
              <w:top w:w="15" w:type="dxa"/>
              <w:left w:w="15" w:type="dxa"/>
              <w:right w:w="15" w:type="dxa"/>
            </w:tcMar>
            <w:vAlign w:val="center"/>
          </w:tcPr>
          <w:p>
            <w:pPr>
              <w:pStyle w:val="13"/>
              <w:rPr>
                <w:sz w:val="24"/>
              </w:rPr>
            </w:pPr>
            <w:r>
              <w:rPr>
                <w:sz w:val="24"/>
              </w:rPr>
              <w:t>3</w:t>
            </w:r>
            <w:r>
              <w:rPr>
                <w:rFonts w:hint="eastAsia"/>
                <w:sz w:val="24"/>
              </w:rPr>
              <w:t>2</w:t>
            </w:r>
          </w:p>
        </w:tc>
        <w:tc>
          <w:tcPr>
            <w:tcW w:w="1211" w:type="dxa"/>
            <w:tcBorders>
              <w:bottom w:val="single" w:color="auto" w:sz="4" w:space="0"/>
            </w:tcBorders>
            <w:shd w:val="clear" w:color="auto" w:fill="auto"/>
            <w:tcMar>
              <w:top w:w="15" w:type="dxa"/>
              <w:left w:w="15" w:type="dxa"/>
              <w:right w:w="15" w:type="dxa"/>
            </w:tcMar>
            <w:vAlign w:val="center"/>
          </w:tcPr>
          <w:p>
            <w:pPr>
              <w:pStyle w:val="13"/>
              <w:rPr>
                <w:sz w:val="24"/>
              </w:rPr>
            </w:pPr>
            <w:r>
              <w:rPr>
                <w:rFonts w:hint="eastAsia"/>
                <w:sz w:val="24"/>
              </w:rPr>
              <w:t>512</w:t>
            </w:r>
          </w:p>
        </w:tc>
        <w:tc>
          <w:tcPr>
            <w:tcW w:w="1211" w:type="dxa"/>
            <w:tcBorders>
              <w:bottom w:val="single" w:color="auto" w:sz="4" w:space="0"/>
            </w:tcBorders>
            <w:shd w:val="clear" w:color="auto" w:fill="auto"/>
            <w:tcMar>
              <w:top w:w="15" w:type="dxa"/>
              <w:left w:w="15" w:type="dxa"/>
              <w:right w:w="15" w:type="dxa"/>
            </w:tcMar>
            <w:vAlign w:val="center"/>
          </w:tcPr>
          <w:p>
            <w:pPr>
              <w:pStyle w:val="13"/>
              <w:rPr>
                <w:sz w:val="24"/>
              </w:rPr>
            </w:pPr>
            <w:r>
              <w:rPr>
                <w:sz w:val="24"/>
              </w:rPr>
              <w:t>1</w:t>
            </w:r>
            <w:r>
              <w:rPr>
                <w:rFonts w:hint="eastAsia"/>
                <w:sz w:val="24"/>
              </w:rPr>
              <w:t>8</w:t>
            </w:r>
            <w:r>
              <w:rPr>
                <w:sz w:val="24"/>
              </w:rPr>
              <w:t>.</w:t>
            </w:r>
            <w:r>
              <w:rPr>
                <w:rFonts w:hint="eastAsia"/>
                <w:sz w:val="24"/>
              </w:rPr>
              <w:t>4</w:t>
            </w:r>
            <w:r>
              <w:rPr>
                <w:sz w:val="24"/>
              </w:rPr>
              <w:t>%</w:t>
            </w:r>
          </w:p>
        </w:tc>
        <w:tc>
          <w:tcPr>
            <w:tcW w:w="1211" w:type="dxa"/>
            <w:vMerge w:val="restart"/>
            <w:tcBorders>
              <w:bottom w:val="single" w:color="auto" w:sz="4" w:space="0"/>
            </w:tcBorders>
            <w:shd w:val="clear" w:color="auto" w:fill="auto"/>
            <w:tcMar>
              <w:top w:w="15" w:type="dxa"/>
              <w:left w:w="15" w:type="dxa"/>
              <w:right w:w="15" w:type="dxa"/>
            </w:tcMar>
            <w:vAlign w:val="center"/>
          </w:tcPr>
          <w:p>
            <w:pPr>
              <w:pStyle w:val="13"/>
              <w:rPr>
                <w:sz w:val="24"/>
              </w:rPr>
            </w:pPr>
            <w:r>
              <w:rPr>
                <w:sz w:val="24"/>
              </w:rPr>
              <w:t>4</w:t>
            </w:r>
            <w:r>
              <w:rPr>
                <w:rFonts w:hint="eastAsia"/>
                <w:sz w:val="24"/>
              </w:rPr>
              <w:t>4</w:t>
            </w:r>
            <w:r>
              <w:rPr>
                <w:sz w:val="24"/>
              </w:rPr>
              <w:t>.</w:t>
            </w:r>
            <w:r>
              <w:rPr>
                <w:rFonts w:hint="eastAsia"/>
                <w:sz w:val="24"/>
              </w:rPr>
              <w:t>1</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top w:val="single" w:color="auto" w:sz="4" w:space="0"/>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专业核心课</w:t>
            </w:r>
          </w:p>
        </w:tc>
        <w:tc>
          <w:tcPr>
            <w:tcW w:w="1211" w:type="dxa"/>
            <w:tcBorders>
              <w:top w:val="single" w:color="auto" w:sz="4" w:space="0"/>
            </w:tcBorders>
            <w:shd w:val="clear" w:color="auto" w:fill="FFFFFF"/>
            <w:tcMar>
              <w:top w:w="15" w:type="dxa"/>
              <w:left w:w="15" w:type="dxa"/>
              <w:right w:w="15" w:type="dxa"/>
            </w:tcMar>
            <w:vAlign w:val="center"/>
          </w:tcPr>
          <w:p>
            <w:pPr>
              <w:pStyle w:val="13"/>
              <w:rPr>
                <w:sz w:val="24"/>
              </w:rPr>
            </w:pPr>
            <w:r>
              <w:rPr>
                <w:sz w:val="24"/>
              </w:rPr>
              <w:t>2</w:t>
            </w:r>
            <w:r>
              <w:rPr>
                <w:rFonts w:hint="eastAsia"/>
                <w:sz w:val="24"/>
              </w:rPr>
              <w:t>5</w:t>
            </w:r>
            <w:r>
              <w:rPr>
                <w:sz w:val="24"/>
              </w:rPr>
              <w:t>.</w:t>
            </w:r>
            <w:r>
              <w:rPr>
                <w:rFonts w:hint="eastAsia"/>
                <w:sz w:val="24"/>
              </w:rPr>
              <w:t>5</w:t>
            </w:r>
          </w:p>
        </w:tc>
        <w:tc>
          <w:tcPr>
            <w:tcW w:w="1211" w:type="dxa"/>
            <w:tcBorders>
              <w:top w:val="single" w:color="auto" w:sz="4" w:space="0"/>
            </w:tcBorders>
            <w:shd w:val="clear" w:color="auto" w:fill="auto"/>
            <w:tcMar>
              <w:top w:w="15" w:type="dxa"/>
              <w:left w:w="15" w:type="dxa"/>
              <w:right w:w="15" w:type="dxa"/>
            </w:tcMar>
            <w:vAlign w:val="center"/>
          </w:tcPr>
          <w:p>
            <w:pPr>
              <w:pStyle w:val="13"/>
              <w:rPr>
                <w:sz w:val="24"/>
              </w:rPr>
            </w:pPr>
            <w:r>
              <w:rPr>
                <w:rFonts w:hint="eastAsia"/>
                <w:sz w:val="24"/>
              </w:rPr>
              <w:t>40</w:t>
            </w:r>
            <w:r>
              <w:rPr>
                <w:sz w:val="24"/>
              </w:rPr>
              <w:t>8</w:t>
            </w:r>
          </w:p>
        </w:tc>
        <w:tc>
          <w:tcPr>
            <w:tcW w:w="1211" w:type="dxa"/>
            <w:tcBorders>
              <w:top w:val="single" w:color="auto" w:sz="4" w:space="0"/>
            </w:tcBorders>
            <w:shd w:val="clear" w:color="auto" w:fill="auto"/>
            <w:tcMar>
              <w:top w:w="15" w:type="dxa"/>
              <w:left w:w="15" w:type="dxa"/>
              <w:right w:w="15" w:type="dxa"/>
            </w:tcMar>
            <w:vAlign w:val="center"/>
          </w:tcPr>
          <w:p>
            <w:pPr>
              <w:pStyle w:val="13"/>
              <w:rPr>
                <w:sz w:val="24"/>
              </w:rPr>
            </w:pPr>
            <w:r>
              <w:rPr>
                <w:sz w:val="24"/>
              </w:rPr>
              <w:t>1</w:t>
            </w:r>
            <w:r>
              <w:rPr>
                <w:rFonts w:hint="eastAsia"/>
                <w:sz w:val="24"/>
              </w:rPr>
              <w:t>5</w:t>
            </w:r>
            <w:r>
              <w:rPr>
                <w:sz w:val="24"/>
              </w:rPr>
              <w:t>.</w:t>
            </w:r>
            <w:r>
              <w:rPr>
                <w:rFonts w:hint="eastAsia"/>
                <w:sz w:val="24"/>
              </w:rPr>
              <w:t>4</w:t>
            </w:r>
            <w:r>
              <w:rPr>
                <w:sz w:val="24"/>
              </w:rPr>
              <w:t>%</w:t>
            </w:r>
          </w:p>
        </w:tc>
        <w:tc>
          <w:tcPr>
            <w:tcW w:w="1211" w:type="dxa"/>
            <w:vMerge w:val="continue"/>
            <w:tcBorders>
              <w:top w:val="single" w:color="auto" w:sz="4" w:space="0"/>
            </w:tcBorders>
            <w:shd w:val="clear" w:color="auto" w:fill="auto"/>
            <w:tcMar>
              <w:top w:w="15" w:type="dxa"/>
              <w:left w:w="15" w:type="dxa"/>
              <w:right w:w="15" w:type="dxa"/>
            </w:tcMar>
            <w:vAlign w:val="center"/>
          </w:tcPr>
          <w:p>
            <w:pPr>
              <w:pStyle w:val="13"/>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专业选修课</w:t>
            </w:r>
          </w:p>
        </w:tc>
        <w:tc>
          <w:tcPr>
            <w:tcW w:w="1211" w:type="dxa"/>
            <w:shd w:val="clear" w:color="auto" w:fill="auto"/>
            <w:tcMar>
              <w:top w:w="15" w:type="dxa"/>
              <w:left w:w="15" w:type="dxa"/>
              <w:right w:w="15" w:type="dxa"/>
            </w:tcMar>
            <w:vAlign w:val="center"/>
          </w:tcPr>
          <w:p>
            <w:pPr>
              <w:pStyle w:val="13"/>
              <w:rPr>
                <w:sz w:val="24"/>
              </w:rPr>
            </w:pPr>
            <w:r>
              <w:rPr>
                <w:sz w:val="24"/>
              </w:rPr>
              <w:t>1</w:t>
            </w:r>
            <w:r>
              <w:rPr>
                <w:rFonts w:hint="eastAsia"/>
                <w:sz w:val="24"/>
              </w:rPr>
              <w:t>9</w:t>
            </w:r>
            <w:r>
              <w:rPr>
                <w:sz w:val="24"/>
              </w:rPr>
              <w:t>.0</w:t>
            </w:r>
          </w:p>
        </w:tc>
        <w:tc>
          <w:tcPr>
            <w:tcW w:w="1211" w:type="dxa"/>
            <w:shd w:val="clear" w:color="auto" w:fill="auto"/>
            <w:tcMar>
              <w:top w:w="15" w:type="dxa"/>
              <w:left w:w="15" w:type="dxa"/>
              <w:right w:w="15" w:type="dxa"/>
            </w:tcMar>
            <w:vAlign w:val="center"/>
          </w:tcPr>
          <w:p>
            <w:pPr>
              <w:pStyle w:val="13"/>
              <w:rPr>
                <w:sz w:val="24"/>
              </w:rPr>
            </w:pPr>
            <w:r>
              <w:rPr>
                <w:rFonts w:hint="eastAsia"/>
                <w:sz w:val="24"/>
              </w:rPr>
              <w:t>304</w:t>
            </w:r>
          </w:p>
        </w:tc>
        <w:tc>
          <w:tcPr>
            <w:tcW w:w="1211" w:type="dxa"/>
            <w:shd w:val="clear" w:color="auto" w:fill="auto"/>
            <w:tcMar>
              <w:top w:w="15" w:type="dxa"/>
              <w:left w:w="15" w:type="dxa"/>
              <w:right w:w="15" w:type="dxa"/>
            </w:tcMar>
            <w:vAlign w:val="center"/>
          </w:tcPr>
          <w:p>
            <w:pPr>
              <w:pStyle w:val="13"/>
              <w:rPr>
                <w:sz w:val="24"/>
              </w:rPr>
            </w:pPr>
            <w:r>
              <w:rPr>
                <w:sz w:val="24"/>
              </w:rPr>
              <w:t>10.</w:t>
            </w:r>
            <w:r>
              <w:rPr>
                <w:rFonts w:hint="eastAsia"/>
                <w:sz w:val="24"/>
              </w:rPr>
              <w:t>3</w:t>
            </w:r>
            <w:r>
              <w:rPr>
                <w:sz w:val="24"/>
              </w:rPr>
              <w:t>%</w:t>
            </w:r>
          </w:p>
        </w:tc>
        <w:tc>
          <w:tcPr>
            <w:tcW w:w="1211" w:type="dxa"/>
            <w:vMerge w:val="continue"/>
            <w:shd w:val="clear" w:color="auto" w:fill="auto"/>
            <w:tcMar>
              <w:top w:w="15" w:type="dxa"/>
              <w:left w:w="15" w:type="dxa"/>
              <w:right w:w="15" w:type="dxa"/>
            </w:tcMar>
            <w:vAlign w:val="center"/>
          </w:tcPr>
          <w:p>
            <w:pPr>
              <w:pStyle w:val="13"/>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实</w:t>
            </w:r>
          </w:p>
          <w:p>
            <w:pPr>
              <w:pStyle w:val="39"/>
              <w:rPr>
                <w:sz w:val="24"/>
                <w:szCs w:val="24"/>
              </w:rPr>
            </w:pPr>
            <w:r>
              <w:rPr>
                <w:rFonts w:hint="eastAsia"/>
                <w:sz w:val="24"/>
                <w:szCs w:val="24"/>
              </w:rPr>
              <w:t>践</w:t>
            </w:r>
          </w:p>
          <w:p>
            <w:pPr>
              <w:pStyle w:val="39"/>
              <w:rPr>
                <w:sz w:val="24"/>
                <w:szCs w:val="24"/>
              </w:rPr>
            </w:pPr>
            <w:r>
              <w:rPr>
                <w:rFonts w:hint="eastAsia"/>
                <w:sz w:val="24"/>
                <w:szCs w:val="24"/>
              </w:rPr>
              <w:t>能</w:t>
            </w:r>
          </w:p>
          <w:p>
            <w:pPr>
              <w:pStyle w:val="39"/>
              <w:rPr>
                <w:sz w:val="24"/>
                <w:szCs w:val="24"/>
              </w:rPr>
            </w:pPr>
            <w:r>
              <w:rPr>
                <w:rFonts w:hint="eastAsia"/>
                <w:sz w:val="24"/>
                <w:szCs w:val="24"/>
              </w:rPr>
              <w:t>力</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专业实践课</w:t>
            </w:r>
          </w:p>
        </w:tc>
        <w:tc>
          <w:tcPr>
            <w:tcW w:w="1211" w:type="dxa"/>
            <w:shd w:val="clear" w:color="auto" w:fill="auto"/>
            <w:tcMar>
              <w:top w:w="15" w:type="dxa"/>
              <w:left w:w="15" w:type="dxa"/>
              <w:right w:w="15" w:type="dxa"/>
            </w:tcMar>
            <w:vAlign w:val="center"/>
          </w:tcPr>
          <w:p>
            <w:pPr>
              <w:pStyle w:val="13"/>
              <w:rPr>
                <w:sz w:val="24"/>
              </w:rPr>
            </w:pPr>
            <w:r>
              <w:rPr>
                <w:rFonts w:hint="eastAsia"/>
                <w:sz w:val="24"/>
              </w:rPr>
              <w:t>36</w:t>
            </w:r>
          </w:p>
        </w:tc>
        <w:tc>
          <w:tcPr>
            <w:tcW w:w="1211" w:type="dxa"/>
            <w:shd w:val="clear" w:color="auto" w:fill="auto"/>
            <w:tcMar>
              <w:top w:w="15" w:type="dxa"/>
              <w:left w:w="15" w:type="dxa"/>
              <w:right w:w="15" w:type="dxa"/>
            </w:tcMar>
            <w:vAlign w:val="center"/>
          </w:tcPr>
          <w:p>
            <w:pPr>
              <w:pStyle w:val="13"/>
              <w:rPr>
                <w:sz w:val="24"/>
              </w:rPr>
            </w:pPr>
            <w:r>
              <w:rPr>
                <w:rFonts w:hint="eastAsia"/>
                <w:sz w:val="24"/>
              </w:rPr>
              <w:t>230</w:t>
            </w:r>
            <w:r>
              <w:rPr>
                <w:sz w:val="24"/>
              </w:rPr>
              <w:t>/</w:t>
            </w:r>
            <w:r>
              <w:rPr>
                <w:rFonts w:hint="eastAsia"/>
                <w:sz w:val="24"/>
              </w:rPr>
              <w:t>40周</w:t>
            </w:r>
          </w:p>
        </w:tc>
        <w:tc>
          <w:tcPr>
            <w:tcW w:w="1211" w:type="dxa"/>
            <w:shd w:val="clear" w:color="auto" w:fill="auto"/>
            <w:tcMar>
              <w:top w:w="15" w:type="dxa"/>
              <w:left w:w="15" w:type="dxa"/>
              <w:right w:w="15" w:type="dxa"/>
            </w:tcMar>
            <w:vAlign w:val="center"/>
          </w:tcPr>
          <w:p>
            <w:pPr>
              <w:pStyle w:val="13"/>
              <w:rPr>
                <w:sz w:val="24"/>
              </w:rPr>
            </w:pPr>
            <w:r>
              <w:rPr>
                <w:sz w:val="24"/>
              </w:rPr>
              <w:t>2</w:t>
            </w:r>
            <w:r>
              <w:rPr>
                <w:rFonts w:hint="eastAsia"/>
                <w:sz w:val="24"/>
              </w:rPr>
              <w:t>2</w:t>
            </w:r>
            <w:r>
              <w:rPr>
                <w:sz w:val="24"/>
              </w:rPr>
              <w:t>.</w:t>
            </w:r>
            <w:r>
              <w:rPr>
                <w:rFonts w:hint="eastAsia"/>
                <w:sz w:val="24"/>
              </w:rPr>
              <w:t>1</w:t>
            </w:r>
            <w:r>
              <w:rPr>
                <w:sz w:val="24"/>
              </w:rPr>
              <w:t>%</w:t>
            </w:r>
          </w:p>
        </w:tc>
        <w:tc>
          <w:tcPr>
            <w:tcW w:w="1211" w:type="dxa"/>
            <w:vMerge w:val="restart"/>
            <w:shd w:val="clear" w:color="auto" w:fill="auto"/>
            <w:tcMar>
              <w:top w:w="15" w:type="dxa"/>
              <w:left w:w="15" w:type="dxa"/>
              <w:right w:w="15" w:type="dxa"/>
            </w:tcMar>
            <w:vAlign w:val="center"/>
          </w:tcPr>
          <w:p>
            <w:pPr>
              <w:pStyle w:val="13"/>
              <w:rPr>
                <w:sz w:val="24"/>
              </w:rPr>
            </w:pPr>
            <w:r>
              <w:rPr>
                <w:sz w:val="24"/>
              </w:rPr>
              <w:t>2</w:t>
            </w:r>
            <w:r>
              <w:rPr>
                <w:rFonts w:hint="eastAsia"/>
                <w:sz w:val="24"/>
              </w:rPr>
              <w:t>7</w:t>
            </w:r>
            <w:r>
              <w:rPr>
                <w:sz w:val="24"/>
              </w:rPr>
              <w:t>.</w:t>
            </w:r>
            <w:r>
              <w:rPr>
                <w:rFonts w:hint="eastAsia"/>
                <w:sz w:val="24"/>
              </w:rPr>
              <w:t>2</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专业外自主性实践课</w:t>
            </w:r>
          </w:p>
        </w:tc>
        <w:tc>
          <w:tcPr>
            <w:tcW w:w="1211" w:type="dxa"/>
            <w:shd w:val="clear" w:color="auto" w:fill="FFFFFF"/>
            <w:tcMar>
              <w:top w:w="15" w:type="dxa"/>
              <w:left w:w="15" w:type="dxa"/>
              <w:right w:w="15" w:type="dxa"/>
            </w:tcMar>
            <w:vAlign w:val="center"/>
          </w:tcPr>
          <w:p>
            <w:pPr>
              <w:pStyle w:val="13"/>
              <w:rPr>
                <w:sz w:val="24"/>
              </w:rPr>
            </w:pPr>
            <w:r>
              <w:rPr>
                <w:sz w:val="24"/>
              </w:rPr>
              <w:t>8.5</w:t>
            </w:r>
          </w:p>
        </w:tc>
        <w:tc>
          <w:tcPr>
            <w:tcW w:w="1211" w:type="dxa"/>
            <w:shd w:val="clear" w:color="auto" w:fill="auto"/>
            <w:tcMar>
              <w:top w:w="15" w:type="dxa"/>
              <w:left w:w="15" w:type="dxa"/>
              <w:right w:w="15" w:type="dxa"/>
            </w:tcMar>
            <w:vAlign w:val="center"/>
          </w:tcPr>
          <w:p>
            <w:pPr>
              <w:pStyle w:val="13"/>
              <w:rPr>
                <w:sz w:val="24"/>
              </w:rPr>
            </w:pPr>
            <w:r>
              <w:rPr>
                <w:rFonts w:hint="eastAsia"/>
                <w:sz w:val="24"/>
              </w:rPr>
              <w:t>124/</w:t>
            </w:r>
            <w:r>
              <w:rPr>
                <w:sz w:val="24"/>
              </w:rPr>
              <w:t>2</w:t>
            </w:r>
            <w:r>
              <w:rPr>
                <w:rFonts w:hint="eastAsia"/>
                <w:sz w:val="24"/>
              </w:rPr>
              <w:t>周</w:t>
            </w:r>
          </w:p>
        </w:tc>
        <w:tc>
          <w:tcPr>
            <w:tcW w:w="1211" w:type="dxa"/>
            <w:shd w:val="clear" w:color="auto" w:fill="auto"/>
            <w:tcMar>
              <w:top w:w="15" w:type="dxa"/>
              <w:left w:w="15" w:type="dxa"/>
              <w:right w:w="15" w:type="dxa"/>
            </w:tcMar>
            <w:vAlign w:val="center"/>
          </w:tcPr>
          <w:p>
            <w:pPr>
              <w:pStyle w:val="13"/>
              <w:rPr>
                <w:sz w:val="24"/>
              </w:rPr>
            </w:pPr>
            <w:r>
              <w:rPr>
                <w:sz w:val="24"/>
              </w:rPr>
              <w:t>5.</w:t>
            </w:r>
            <w:r>
              <w:rPr>
                <w:rFonts w:hint="eastAsia"/>
                <w:sz w:val="24"/>
              </w:rPr>
              <w:t>1</w:t>
            </w:r>
            <w:r>
              <w:rPr>
                <w:sz w:val="24"/>
              </w:rPr>
              <w:t>%</w:t>
            </w:r>
          </w:p>
        </w:tc>
        <w:tc>
          <w:tcPr>
            <w:tcW w:w="1211" w:type="dxa"/>
            <w:vMerge w:val="continue"/>
            <w:shd w:val="clear" w:color="auto" w:fill="auto"/>
            <w:tcMar>
              <w:top w:w="15" w:type="dxa"/>
              <w:left w:w="15" w:type="dxa"/>
              <w:right w:w="15" w:type="dxa"/>
            </w:tcMar>
            <w:vAlign w:val="center"/>
          </w:tcPr>
          <w:p>
            <w:pPr>
              <w:pStyle w:val="13"/>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创新创业能力发展课程</w:t>
            </w:r>
          </w:p>
        </w:tc>
        <w:tc>
          <w:tcPr>
            <w:tcW w:w="1211" w:type="dxa"/>
            <w:shd w:val="clear" w:color="auto" w:fill="auto"/>
            <w:tcMar>
              <w:top w:w="15" w:type="dxa"/>
              <w:left w:w="15" w:type="dxa"/>
              <w:right w:w="15" w:type="dxa"/>
            </w:tcMar>
            <w:vAlign w:val="center"/>
          </w:tcPr>
          <w:p>
            <w:pPr>
              <w:pStyle w:val="13"/>
              <w:rPr>
                <w:sz w:val="24"/>
              </w:rPr>
            </w:pPr>
            <w:r>
              <w:rPr>
                <w:sz w:val="24"/>
              </w:rPr>
              <w:t>X</w:t>
            </w:r>
          </w:p>
        </w:tc>
        <w:tc>
          <w:tcPr>
            <w:tcW w:w="3633" w:type="dxa"/>
            <w:gridSpan w:val="3"/>
            <w:shd w:val="clear" w:color="auto" w:fill="auto"/>
            <w:tcMar>
              <w:top w:w="15" w:type="dxa"/>
              <w:left w:w="15" w:type="dxa"/>
              <w:right w:w="15" w:type="dxa"/>
            </w:tcMar>
            <w:vAlign w:val="center"/>
          </w:tcPr>
          <w:p>
            <w:pPr>
              <w:pStyle w:val="13"/>
              <w:rPr>
                <w:sz w:val="24"/>
              </w:rPr>
            </w:pPr>
            <w:r>
              <w:rPr>
                <w:rFonts w:hint="eastAsia"/>
                <w:sz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shd w:val="clear" w:color="auto" w:fill="auto"/>
            <w:tcMar>
              <w:top w:w="15" w:type="dxa"/>
              <w:left w:w="15" w:type="dxa"/>
              <w:right w:w="15" w:type="dxa"/>
            </w:tcMar>
            <w:vAlign w:val="center"/>
          </w:tcPr>
          <w:p>
            <w:pPr>
              <w:pStyle w:val="39"/>
              <w:rPr>
                <w:sz w:val="24"/>
                <w:szCs w:val="24"/>
              </w:rPr>
            </w:pPr>
            <w:r>
              <w:rPr>
                <w:rFonts w:hint="eastAsia"/>
                <w:sz w:val="24"/>
                <w:szCs w:val="24"/>
              </w:rPr>
              <w:t>最低毕业学分</w:t>
            </w:r>
          </w:p>
        </w:tc>
        <w:tc>
          <w:tcPr>
            <w:tcW w:w="1211" w:type="dxa"/>
            <w:shd w:val="clear" w:color="auto" w:fill="auto"/>
            <w:tcMar>
              <w:top w:w="15" w:type="dxa"/>
              <w:left w:w="15" w:type="dxa"/>
              <w:right w:w="15" w:type="dxa"/>
            </w:tcMar>
            <w:vAlign w:val="center"/>
          </w:tcPr>
          <w:p>
            <w:pPr>
              <w:pStyle w:val="13"/>
              <w:rPr>
                <w:sz w:val="24"/>
                <w:szCs w:val="24"/>
              </w:rPr>
            </w:pPr>
            <w:r>
              <w:rPr>
                <w:rFonts w:hint="eastAsia"/>
                <w:sz w:val="24"/>
                <w:szCs w:val="24"/>
              </w:rPr>
              <w:t>168.5</w:t>
            </w:r>
          </w:p>
        </w:tc>
        <w:tc>
          <w:tcPr>
            <w:tcW w:w="2422" w:type="dxa"/>
            <w:gridSpan w:val="2"/>
            <w:shd w:val="clear" w:color="auto" w:fill="auto"/>
            <w:tcMar>
              <w:top w:w="15" w:type="dxa"/>
              <w:left w:w="15" w:type="dxa"/>
              <w:right w:w="15" w:type="dxa"/>
            </w:tcMar>
            <w:vAlign w:val="center"/>
          </w:tcPr>
          <w:p>
            <w:pPr>
              <w:pStyle w:val="12"/>
              <w:rPr>
                <w:sz w:val="24"/>
                <w:szCs w:val="24"/>
              </w:rPr>
            </w:pPr>
            <w:r>
              <w:rPr>
                <w:rFonts w:hint="eastAsia"/>
                <w:sz w:val="24"/>
                <w:szCs w:val="24"/>
              </w:rPr>
              <w:t>课堂教学最低总课时</w:t>
            </w:r>
          </w:p>
        </w:tc>
        <w:tc>
          <w:tcPr>
            <w:tcW w:w="1211" w:type="dxa"/>
            <w:shd w:val="clear" w:color="auto" w:fill="auto"/>
            <w:tcMar>
              <w:top w:w="15" w:type="dxa"/>
              <w:left w:w="15" w:type="dxa"/>
              <w:right w:w="15" w:type="dxa"/>
            </w:tcMar>
            <w:vAlign w:val="center"/>
          </w:tcPr>
          <w:p>
            <w:pPr>
              <w:pStyle w:val="13"/>
              <w:rPr>
                <w:sz w:val="24"/>
                <w:szCs w:val="24"/>
              </w:rPr>
            </w:pPr>
            <w:r>
              <w:rPr>
                <w:rFonts w:hint="eastAsia"/>
                <w:sz w:val="24"/>
                <w:szCs w:val="24"/>
              </w:rPr>
              <w:t>2402</w:t>
            </w:r>
          </w:p>
        </w:tc>
      </w:tr>
    </w:tbl>
    <w:p>
      <w:pPr>
        <w:pStyle w:val="47"/>
      </w:pPr>
      <w:r>
        <w:rPr>
          <w:rFonts w:hint="eastAsia"/>
        </w:rPr>
        <w:t>注：带“</w:t>
      </w:r>
      <w:r>
        <w:t>*</w:t>
      </w:r>
      <w:r>
        <w:rPr>
          <w:rFonts w:hint="eastAsia"/>
        </w:rPr>
        <w:t>”部分是指专插本学生的学分要求统计。</w:t>
      </w:r>
    </w:p>
    <w:p>
      <w:pPr>
        <w:pStyle w:val="17"/>
        <w:spacing w:before="163" w:beforeLines="50" w:line="420" w:lineRule="exact"/>
        <w:ind w:firstLine="0" w:firstLineChars="0"/>
        <w:outlineLvl w:val="0"/>
        <w:rPr>
          <w:b/>
        </w:rPr>
      </w:pPr>
      <w:r>
        <w:rPr>
          <w:b/>
        </w:rPr>
        <w:br w:type="page"/>
      </w:r>
    </w:p>
    <w:p>
      <w:pPr>
        <w:pStyle w:val="2"/>
        <w:spacing w:before="163"/>
      </w:pPr>
      <w:r>
        <w:rPr>
          <w:rFonts w:hint="eastAsia"/>
        </w:rPr>
        <w:t>七、课程安排表</w:t>
      </w:r>
    </w:p>
    <w:p>
      <w:pPr>
        <w:pStyle w:val="3"/>
        <w:rPr>
          <w:rFonts w:cs="Times New Roman"/>
        </w:rPr>
      </w:pPr>
      <w:r>
        <w:rPr>
          <w:rFonts w:hint="eastAsia"/>
        </w:rPr>
        <w:t>（一）通识类课程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tcMar>
              <w:left w:w="57" w:type="dxa"/>
              <w:right w:w="28"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通</w:t>
            </w:r>
          </w:p>
          <w:p>
            <w:pPr>
              <w:pStyle w:val="39"/>
            </w:pPr>
            <w:r>
              <w:rPr>
                <w:rFonts w:hint="eastAsia"/>
              </w:rPr>
              <w:t>识</w:t>
            </w:r>
          </w:p>
          <w:p>
            <w:pPr>
              <w:pStyle w:val="39"/>
            </w:pPr>
            <w:r>
              <w:rPr>
                <w:rFonts w:hint="eastAsia"/>
              </w:rPr>
              <w:t>必</w:t>
            </w:r>
          </w:p>
          <w:p>
            <w:pPr>
              <w:pStyle w:val="39"/>
            </w:pPr>
            <w:r>
              <w:rPr>
                <w:rFonts w:hint="eastAsia"/>
              </w:rPr>
              <w:t>修</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0502101</w:t>
            </w:r>
            <w:r>
              <w:rPr>
                <w:lang w:bidi="ar"/>
              </w:rPr>
              <w:t>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4</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4</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08065001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计算机应用基础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毛泽东思想和中国特色社会主义理论体系概论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eastAsia="zh-CN"/>
              </w:rPr>
            </w:pPr>
            <w:r>
              <w:rPr>
                <w:rFonts w:hint="eastAsia"/>
                <w:lang w:val="en-US" w:eastAsia="zh-CN" w:bidi="ar"/>
              </w:rPr>
              <w:t>3</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eastAsia="宋体"/>
                <w:lang w:val="en-US" w:eastAsia="zh-CN"/>
              </w:rPr>
            </w:pPr>
            <w:r>
              <w:rPr>
                <w:rFonts w:hint="eastAsia"/>
                <w:lang w:val="en-US" w:eastAsia="zh-C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eastAsia="zh-CN"/>
              </w:rPr>
            </w:pPr>
            <w:r>
              <w:rPr>
                <w:rFonts w:hint="eastAsia"/>
                <w:lang w:eastAsia="zh-CN"/>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习近平新时代中国特色社会主义思想概论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eastAsia="zh-CN"/>
              </w:rPr>
            </w:pPr>
            <w:r>
              <w:rPr>
                <w:rFonts w:hint="eastAsia"/>
                <w:lang w:val="en-US" w:eastAsia="zh-CN" w:bidi="ar"/>
              </w:rPr>
              <w:t>3</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eastAsia="宋体"/>
                <w:lang w:val="en-US" w:eastAsia="zh-CN"/>
              </w:rPr>
            </w:pPr>
            <w:r>
              <w:rPr>
                <w:rFonts w:hint="eastAsia"/>
                <w:lang w:val="en-US" w:eastAsia="zh-C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val="en-US" w:eastAsia="zh-CN"/>
              </w:rPr>
            </w:pPr>
            <w:r>
              <w:rPr>
                <w:rFonts w:hint="eastAsia"/>
                <w:lang w:val="en-US" w:eastAsia="zh-CN"/>
              </w:rPr>
              <w:t>开卷</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04011001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04011006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37.</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6</w:t>
            </w:r>
            <w:r>
              <w:rPr>
                <w:rFonts w:hint="eastAsia"/>
              </w:rPr>
              <w:t>66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39"/>
            </w:pPr>
            <w:r>
              <w:rPr>
                <w:rFonts w:hint="eastAsia"/>
              </w:rPr>
              <w:t>通</w:t>
            </w:r>
          </w:p>
          <w:p>
            <w:pPr>
              <w:pStyle w:val="39"/>
            </w:pPr>
            <w:r>
              <w:rPr>
                <w:rFonts w:hint="eastAsia"/>
              </w:rPr>
              <w:t>识</w:t>
            </w:r>
          </w:p>
          <w:p>
            <w:pPr>
              <w:pStyle w:val="39"/>
            </w:pPr>
            <w:r>
              <w:rPr>
                <w:rFonts w:hint="eastAsia"/>
              </w:rPr>
              <w:t>选</w:t>
            </w:r>
          </w:p>
          <w:p>
            <w:pPr>
              <w:pStyle w:val="39"/>
            </w:pPr>
            <w:r>
              <w:rPr>
                <w:rFonts w:hint="eastAsia"/>
              </w:rPr>
              <w:t>修</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01101103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g0400213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11022427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03022388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03071701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ind w:firstLine="360"/>
            </w:pPr>
            <w:r>
              <w:rPr>
                <w:rFonts w:hint="eastAsia"/>
              </w:rPr>
              <w:t>经管类、美育类、工程技术类</w:t>
            </w:r>
          </w:p>
          <w:p>
            <w:pPr>
              <w:pStyle w:val="13"/>
            </w:pPr>
            <w:r>
              <w:rPr>
                <w:rFonts w:hint="eastAsia"/>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72</w:t>
            </w:r>
          </w:p>
        </w:tc>
        <w:tc>
          <w:tcPr>
            <w:tcW w:w="2268"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jc w:val="left"/>
            </w:pPr>
            <w:r>
              <w:rPr>
                <w:rFonts w:hint="eastAsia"/>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小</w:t>
            </w:r>
            <w:r>
              <w:rPr>
                <w:rFonts w:hint="eastAsia"/>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t>166</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right w:w="28" w:type="dxa"/>
            </w:tcMar>
            <w:vAlign w:val="center"/>
          </w:tcPr>
          <w:p>
            <w:pPr>
              <w:pStyle w:val="13"/>
            </w:pPr>
          </w:p>
        </w:tc>
      </w:tr>
    </w:tbl>
    <w:p>
      <w:pPr>
        <w:pStyle w:val="47"/>
        <w:rPr>
          <w:rFonts w:ascii="Calibri" w:hAnsi="Calibri" w:cs="Times New Roman"/>
          <w:b/>
          <w:sz w:val="28"/>
          <w:szCs w:val="28"/>
        </w:rPr>
      </w:pPr>
      <w:r>
        <w:rPr>
          <w:rFonts w:hint="eastAsia"/>
        </w:rPr>
        <w:t>注：X为通识限选课。</w:t>
      </w:r>
      <w:r>
        <w:rPr>
          <w:rFonts w:ascii="Calibri" w:hAnsi="Calibri" w:cs="Times New Roman"/>
          <w:b/>
          <w:sz w:val="28"/>
          <w:szCs w:val="28"/>
        </w:rPr>
        <w:br w:type="page"/>
      </w:r>
    </w:p>
    <w:p>
      <w:pPr>
        <w:pStyle w:val="3"/>
      </w:pPr>
      <w:r>
        <w:rPr>
          <w:rFonts w:hint="eastAsia"/>
        </w:rPr>
        <w:t>（二）专业类课程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tcMar>
              <w:left w:w="57"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基</w:t>
            </w:r>
          </w:p>
          <w:p>
            <w:pPr>
              <w:pStyle w:val="39"/>
            </w:pPr>
            <w:r>
              <w:rPr>
                <w:rFonts w:hint="eastAsia"/>
              </w:rPr>
              <w:t>础</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0701100A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0701100B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0702101A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X0000161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电路理论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07011003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08031101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工程制图</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07011004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复变函数与积分变换</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08065102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C语言程序设计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X0000299</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模拟电子技术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X0000344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数字电子技术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32</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512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核</w:t>
            </w:r>
          </w:p>
          <w:p>
            <w:pPr>
              <w:pStyle w:val="39"/>
            </w:pPr>
            <w:r>
              <w:rPr>
                <w:rFonts w:hint="eastAsia"/>
              </w:rPr>
              <w:t>心</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08076318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机器人概论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left w:val="single" w:color="auto" w:sz="12" w:space="0"/>
              <w:right w:val="single" w:color="auto" w:sz="4" w:space="0"/>
            </w:tcBorders>
            <w:tcMar>
              <w:top w:w="0" w:type="dxa"/>
              <w:left w:w="57" w:type="dxa"/>
              <w:bottom w:w="0" w:type="dxa"/>
              <w:right w:w="0" w:type="dxa"/>
            </w:tcMar>
            <w:vAlign w:val="center"/>
          </w:tcPr>
          <w:p>
            <w:pPr>
              <w:pStyle w:val="39"/>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08062125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自动控制理论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08062147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机械设计基础（含力学）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08065114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微机原理与接口技术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08062123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电器与可编程控制器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电机与电力拖动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08803101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机器人运动学与控制</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08803127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机器视觉技术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08803110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机器人操作系统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rPr>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sz w:val="20"/>
                <w:szCs w:val="20"/>
              </w:rPr>
            </w:pPr>
            <w:r>
              <w:rPr>
                <w:rFonts w:hint="eastAsia" w:ascii="宋体" w:hAnsi="宋体" w:cs="宋体"/>
                <w:sz w:val="20"/>
                <w:szCs w:val="20"/>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25.5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408</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tcMar>
            <w:vAlign w:val="center"/>
          </w:tcPr>
          <w:p>
            <w:pPr>
              <w:pStyle w:val="13"/>
            </w:pPr>
          </w:p>
        </w:tc>
      </w:tr>
    </w:tbl>
    <w:p>
      <w:pPr>
        <w:ind w:firstLine="480"/>
      </w:pPr>
      <w:r>
        <w:br w:type="page"/>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shd w:val="clear" w:color="auto" w:fill="auto"/>
            <w:tcMar>
              <w:left w:w="57"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选</w:t>
            </w:r>
          </w:p>
          <w:p>
            <w:pPr>
              <w:pStyle w:val="39"/>
            </w:pPr>
            <w:r>
              <w:rPr>
                <w:rFonts w:hint="eastAsia"/>
              </w:rPr>
              <w:t>修</w:t>
            </w:r>
          </w:p>
          <w:p>
            <w:pPr>
              <w:pStyle w:val="39"/>
            </w:pPr>
            <w:r>
              <w:rPr>
                <w:rFonts w:hint="eastAsia"/>
              </w:rPr>
              <w:t>课</w:t>
            </w:r>
          </w:p>
          <w:p>
            <w:pPr>
              <w:pStyle w:val="39"/>
            </w:pPr>
            <w:r>
              <w:rPr>
                <w:rFonts w:hint="eastAsia"/>
              </w:rPr>
              <w:t>程</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X0000275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智能制造技术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08061109</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计算机网络与通信</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08031114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液压与气压传动</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08065134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嵌入式系统与接口技术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3</w:t>
            </w:r>
            <w:r>
              <w:t>.0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48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rPr>
            </w:pPr>
            <w:r>
              <w:rPr>
                <w:rFonts w:hint="eastAsia"/>
              </w:rPr>
              <w:t>08801105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优化方法</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08061105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计算机控制技术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08076317</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MATLAB系统建模与仿真</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08062114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检测技术与仪表</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08803103</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人工智能导论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08062122</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电力电子技术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2.5</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X0000147</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Python语言编程</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08803128</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学术论文写作</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r>
              <w:rPr>
                <w:rFonts w:hint="eastAsia" w:cs="Times New Roman"/>
              </w:rPr>
              <w:t>0.5</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ascii="宋体" w:hAnsi="宋体" w:cs="宋体"/>
              </w:rPr>
            </w:pPr>
            <w:r>
              <w:rPr>
                <w:rFonts w:hint="eastAsia" w:ascii="宋体" w:hAnsi="宋体" w:cs="宋体"/>
              </w:rPr>
              <w:t>7</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X0000233</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移动机器人技术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7</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X0000199</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工业机器人编程仿真</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小计</w:t>
            </w:r>
          </w:p>
        </w:tc>
        <w:tc>
          <w:tcPr>
            <w:tcW w:w="4706" w:type="dxa"/>
            <w:gridSpan w:val="8"/>
            <w:tcBorders>
              <w:top w:val="single" w:color="auto" w:sz="4" w:space="0"/>
              <w:left w:val="single" w:color="auto" w:sz="4" w:space="0"/>
              <w:bottom w:val="single" w:color="auto" w:sz="12" w:space="0"/>
              <w:right w:val="single" w:color="auto" w:sz="12" w:space="0"/>
            </w:tcBorders>
            <w:shd w:val="clear" w:color="auto" w:fill="auto"/>
            <w:tcMar>
              <w:top w:w="0" w:type="dxa"/>
              <w:left w:w="57" w:type="dxa"/>
              <w:bottom w:w="0" w:type="dxa"/>
              <w:right w:w="0" w:type="dxa"/>
            </w:tcMar>
            <w:vAlign w:val="center"/>
          </w:tcPr>
          <w:p>
            <w:pPr>
              <w:pStyle w:val="13"/>
            </w:pPr>
            <w:r>
              <w:rPr>
                <w:rFonts w:hint="eastAsia"/>
                <w:sz w:val="22"/>
              </w:rPr>
              <w:t>最低修读19学分</w:t>
            </w:r>
          </w:p>
        </w:tc>
      </w:tr>
    </w:tbl>
    <w:p>
      <w:pPr>
        <w:pStyle w:val="3"/>
        <w:ind w:firstLine="0" w:firstLineChars="0"/>
      </w:pPr>
      <w:r>
        <w:br w:type="page"/>
      </w:r>
    </w:p>
    <w:p>
      <w:pPr>
        <w:pStyle w:val="3"/>
      </w:pPr>
      <w:r>
        <w:rPr>
          <w:rFonts w:hint="eastAsia"/>
        </w:rPr>
        <w:t>（三）实践类课程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w:t>
            </w:r>
          </w:p>
          <w:p>
            <w:pPr>
              <w:pStyle w:val="39"/>
            </w:pPr>
            <w:r>
              <w:rPr>
                <w:rFonts w:hint="eastAsia"/>
              </w:rPr>
              <w:t>性质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实验</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实践</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上机</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开课</w:t>
            </w:r>
          </w:p>
          <w:p>
            <w:pPr>
              <w:pStyle w:val="39"/>
            </w:pPr>
            <w:r>
              <w:rPr>
                <w:rFonts w:hint="eastAsia"/>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考核</w:t>
            </w:r>
          </w:p>
          <w:p>
            <w:pPr>
              <w:pStyle w:val="39"/>
            </w:pPr>
            <w:r>
              <w:rPr>
                <w:rFonts w:hint="eastAsia"/>
              </w:rPr>
              <w:t>方式</w:t>
            </w:r>
          </w:p>
        </w:tc>
        <w:tc>
          <w:tcPr>
            <w:tcW w:w="567" w:type="dxa"/>
            <w:tcBorders>
              <w:top w:val="single" w:color="auto" w:sz="12" w:space="0"/>
              <w:left w:val="single" w:color="auto" w:sz="4" w:space="0"/>
              <w:bottom w:val="single" w:color="auto" w:sz="4" w:space="0"/>
              <w:right w:val="single" w:color="auto" w:sz="12" w:space="0"/>
            </w:tcBorders>
            <w:tcMar>
              <w:left w:w="57" w:type="dxa"/>
            </w:tcMar>
            <w:vAlign w:val="center"/>
          </w:tcPr>
          <w:p>
            <w:pPr>
              <w:pStyle w:val="39"/>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实</w:t>
            </w:r>
          </w:p>
          <w:p>
            <w:pPr>
              <w:pStyle w:val="39"/>
            </w:pPr>
            <w:r>
              <w:rPr>
                <w:rFonts w:hint="eastAsia"/>
              </w:rPr>
              <w:t>践</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07021202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物理实验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08031303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金工实习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08063301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电子工艺实习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08062318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模拟电子技术实验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08062132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数字电子技术实验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08062225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自动控制理论实验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08803201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机器人运动学与控制实验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08076307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电器与可编程控制器实验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08061201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电机与电力拖动实验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08062126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电力电子技术实验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08065410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机器人</w:t>
            </w:r>
            <w:r>
              <w:rPr>
                <w:rFonts w:hint="eastAsia"/>
              </w:rPr>
              <w:t>安装调试</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0806221B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检测技术与仪表实验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08803301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机器人结构设计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X0000432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机器人系统集成技术与实践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08032204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微机原理与单片机技术课程设计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08063303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生产实习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08065141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毕业实习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08065314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毕业设计（论文）</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36</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160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39"/>
            </w:pPr>
            <w:r>
              <w:rPr>
                <w:rFonts w:hint="eastAsia"/>
              </w:rPr>
              <w:t>专业外的自主实践</w:t>
            </w:r>
          </w:p>
          <w:p>
            <w:pPr>
              <w:pStyle w:val="39"/>
            </w:pPr>
            <w:r>
              <w:rPr>
                <w:rFonts w:hint="eastAsia"/>
              </w:rPr>
              <w:t>课程</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01101101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军事理论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01101102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军事技能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04023101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入学教育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04023110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公益劳动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03022330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安全与生命教育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03022301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社会实践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rPr>
                <w:rFonts w:hint="eastAsia"/>
              </w:rPr>
              <w:t>小计（不列入总学时）</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8.5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124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tcMar>
            <w:vAlign w:val="center"/>
          </w:tcPr>
          <w:p>
            <w:pPr>
              <w:pStyle w:val="13"/>
            </w:pPr>
          </w:p>
        </w:tc>
      </w:tr>
    </w:tbl>
    <w:p>
      <w:pPr>
        <w:pStyle w:val="47"/>
      </w:pPr>
      <w:r>
        <w:rPr>
          <w:rFonts w:hint="eastAsia"/>
        </w:rPr>
        <w:t>注：#为包含综合性、设计性实验课程。</w:t>
      </w:r>
    </w:p>
    <w:p>
      <w:pPr>
        <w:spacing w:line="420" w:lineRule="exact"/>
        <w:ind w:firstLine="0" w:firstLineChars="0"/>
        <w:rPr>
          <w:rFonts w:cs="Times New Roman"/>
          <w:b/>
          <w:szCs w:val="21"/>
        </w:rPr>
      </w:pPr>
      <w:r>
        <w:rPr>
          <w:rFonts w:cs="Times New Roman"/>
          <w:b/>
          <w:szCs w:val="21"/>
        </w:rPr>
        <w:br w:type="page"/>
      </w:r>
    </w:p>
    <w:p>
      <w:pPr>
        <w:pStyle w:val="3"/>
        <w:rPr>
          <w:rFonts w:cs="Times New Roman"/>
        </w:rPr>
      </w:pPr>
      <w:r>
        <w:rPr>
          <w:rFonts w:hint="eastAsia" w:cs="Times New Roman"/>
        </w:rPr>
        <w:t>（四）</w:t>
      </w:r>
      <w:r>
        <w:rPr>
          <w:rFonts w:hint="eastAsia"/>
        </w:rPr>
        <w:t>创新创业能力发展课外实践课程（奖励性学分）</w:t>
      </w:r>
    </w:p>
    <w:tbl>
      <w:tblPr>
        <w:tblStyle w:val="15"/>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2"/>
            </w:pPr>
            <w:r>
              <w:rPr>
                <w:rFonts w:hint="eastAsia"/>
              </w:rPr>
              <w:t>项目</w:t>
            </w:r>
          </w:p>
        </w:tc>
        <w:tc>
          <w:tcPr>
            <w:tcW w:w="1275" w:type="dxa"/>
            <w:vAlign w:val="center"/>
          </w:tcPr>
          <w:p>
            <w:pPr>
              <w:pStyle w:val="12"/>
            </w:pPr>
            <w:r>
              <w:rPr>
                <w:rFonts w:hint="eastAsia"/>
              </w:rPr>
              <w:t>课外活</w:t>
            </w:r>
          </w:p>
          <w:p>
            <w:pPr>
              <w:pStyle w:val="12"/>
            </w:pPr>
            <w:r>
              <w:rPr>
                <w:rFonts w:hint="eastAsia"/>
              </w:rPr>
              <w:t>动名称</w:t>
            </w:r>
          </w:p>
        </w:tc>
        <w:tc>
          <w:tcPr>
            <w:tcW w:w="5554" w:type="dxa"/>
            <w:gridSpan w:val="2"/>
            <w:vAlign w:val="center"/>
          </w:tcPr>
          <w:p>
            <w:pPr>
              <w:pStyle w:val="12"/>
            </w:pPr>
            <w:r>
              <w:rPr>
                <w:rFonts w:hint="eastAsia"/>
              </w:rPr>
              <w:t>课外活动和社会实践的要求</w:t>
            </w:r>
          </w:p>
        </w:tc>
        <w:tc>
          <w:tcPr>
            <w:tcW w:w="1428" w:type="dxa"/>
            <w:vAlign w:val="center"/>
          </w:tcPr>
          <w:p>
            <w:pPr>
              <w:pStyle w:val="12"/>
            </w:pPr>
            <w:r>
              <w:rPr>
                <w:rFonts w:hint="eastAsia"/>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学</w:t>
            </w:r>
          </w:p>
          <w:p>
            <w:pPr>
              <w:pStyle w:val="12"/>
            </w:pPr>
            <w:r>
              <w:rPr>
                <w:rFonts w:hint="eastAsia"/>
              </w:rPr>
              <w:t>术</w:t>
            </w:r>
          </w:p>
          <w:p>
            <w:pPr>
              <w:pStyle w:val="12"/>
            </w:pPr>
            <w:r>
              <w:rPr>
                <w:rFonts w:hint="eastAsia"/>
              </w:rPr>
              <w:t>创</w:t>
            </w:r>
          </w:p>
          <w:p>
            <w:pPr>
              <w:pStyle w:val="12"/>
            </w:pPr>
            <w:r>
              <w:rPr>
                <w:rFonts w:hint="eastAsia"/>
              </w:rPr>
              <w:t>作</w:t>
            </w:r>
          </w:p>
        </w:tc>
        <w:tc>
          <w:tcPr>
            <w:tcW w:w="1275" w:type="dxa"/>
            <w:vAlign w:val="center"/>
          </w:tcPr>
          <w:p>
            <w:pPr>
              <w:pStyle w:val="13"/>
            </w:pPr>
            <w:r>
              <w:rPr>
                <w:rFonts w:hint="eastAsia"/>
              </w:rPr>
              <w:t>学术论文</w:t>
            </w:r>
          </w:p>
        </w:tc>
        <w:tc>
          <w:tcPr>
            <w:tcW w:w="3221" w:type="dxa"/>
            <w:vAlign w:val="center"/>
          </w:tcPr>
          <w:p>
            <w:pPr>
              <w:pStyle w:val="13"/>
            </w:pPr>
            <w:r>
              <w:rPr>
                <w:rFonts w:hint="eastAsia"/>
              </w:rPr>
              <w:t>被</w:t>
            </w:r>
            <w:r>
              <w:t>SCI</w:t>
            </w:r>
            <w:r>
              <w:rPr>
                <w:rFonts w:hint="eastAsia"/>
              </w:rPr>
              <w:t>、</w:t>
            </w:r>
            <w:r>
              <w:t>EI</w:t>
            </w:r>
            <w:r>
              <w:rPr>
                <w:rFonts w:hint="eastAsia"/>
              </w:rPr>
              <w:t>、</w:t>
            </w:r>
            <w:r>
              <w:t>SSCI</w:t>
            </w:r>
            <w:r>
              <w:rPr>
                <w:rFonts w:hint="eastAsia"/>
              </w:rPr>
              <w:t>、</w:t>
            </w:r>
            <w:r>
              <w:t>ISTP</w:t>
            </w:r>
            <w:r>
              <w:rPr>
                <w:rFonts w:hint="eastAsia"/>
              </w:rPr>
              <w:t>、</w:t>
            </w:r>
            <w:r>
              <w:t>ISSHP</w:t>
            </w:r>
            <w:r>
              <w:rPr>
                <w:rFonts w:hint="eastAsia"/>
              </w:rPr>
              <w:t>等检索，被国内外核心期刊、会议论文集及国内公开出版的学术期刊收录，内部出版刊物</w:t>
            </w:r>
          </w:p>
        </w:tc>
        <w:tc>
          <w:tcPr>
            <w:tcW w:w="2333" w:type="dxa"/>
            <w:vAlign w:val="center"/>
          </w:tcPr>
          <w:p>
            <w:pPr>
              <w:pStyle w:val="13"/>
            </w:pPr>
            <w:r>
              <w:rPr>
                <w:rFonts w:hint="eastAsia"/>
              </w:rPr>
              <w:t>按检索或收录级别</w:t>
            </w:r>
          </w:p>
        </w:tc>
        <w:tc>
          <w:tcPr>
            <w:tcW w:w="1428" w:type="dxa"/>
            <w:vAlign w:val="center"/>
          </w:tcPr>
          <w:p>
            <w:pPr>
              <w:pStyle w:val="13"/>
            </w:pPr>
            <w: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文学作品、美术及艺术设计作品</w:t>
            </w:r>
          </w:p>
        </w:tc>
        <w:tc>
          <w:tcPr>
            <w:tcW w:w="3221" w:type="dxa"/>
            <w:vAlign w:val="center"/>
          </w:tcPr>
          <w:p>
            <w:pPr>
              <w:pStyle w:val="13"/>
            </w:pPr>
            <w:r>
              <w:rPr>
                <w:rFonts w:hint="eastAsia"/>
              </w:rPr>
              <w:t>国内外核心、国家级出版社、其他公开刊物</w:t>
            </w:r>
          </w:p>
        </w:tc>
        <w:tc>
          <w:tcPr>
            <w:tcW w:w="2333" w:type="dxa"/>
            <w:vAlign w:val="center"/>
          </w:tcPr>
          <w:p>
            <w:pPr>
              <w:pStyle w:val="13"/>
            </w:pPr>
            <w:r>
              <w:rPr>
                <w:rFonts w:hint="eastAsia"/>
              </w:rPr>
              <w:t>按出版级别（第一作者）</w:t>
            </w:r>
          </w:p>
        </w:tc>
        <w:tc>
          <w:tcPr>
            <w:tcW w:w="1428" w:type="dxa"/>
            <w:vAlign w:val="center"/>
          </w:tcPr>
          <w:p>
            <w:pPr>
              <w:pStyle w:val="13"/>
            </w:pPr>
            <w: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学术著作</w:t>
            </w:r>
          </w:p>
        </w:tc>
        <w:tc>
          <w:tcPr>
            <w:tcW w:w="3221" w:type="dxa"/>
            <w:vAlign w:val="center"/>
          </w:tcPr>
          <w:p>
            <w:pPr>
              <w:pStyle w:val="13"/>
            </w:pPr>
            <w:r>
              <w:rPr>
                <w:rFonts w:hint="eastAsia"/>
              </w:rPr>
              <w:t>公开出版专著、学术著作</w:t>
            </w:r>
          </w:p>
        </w:tc>
        <w:tc>
          <w:tcPr>
            <w:tcW w:w="2333" w:type="dxa"/>
            <w:vAlign w:val="center"/>
          </w:tcPr>
          <w:p>
            <w:pPr>
              <w:pStyle w:val="13"/>
            </w:pPr>
            <w:r>
              <w:rPr>
                <w:rFonts w:hint="eastAsia"/>
              </w:rPr>
              <w:t>按编写级别及字数</w:t>
            </w:r>
          </w:p>
        </w:tc>
        <w:tc>
          <w:tcPr>
            <w:tcW w:w="1428" w:type="dxa"/>
            <w:vAlign w:val="center"/>
          </w:tcPr>
          <w:p>
            <w:pPr>
              <w:pStyle w:val="13"/>
            </w:pPr>
            <w: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科</w:t>
            </w:r>
          </w:p>
          <w:p>
            <w:pPr>
              <w:pStyle w:val="12"/>
            </w:pPr>
            <w:r>
              <w:rPr>
                <w:rFonts w:hint="eastAsia"/>
              </w:rPr>
              <w:t>技</w:t>
            </w:r>
          </w:p>
          <w:p>
            <w:pPr>
              <w:pStyle w:val="12"/>
            </w:pPr>
            <w:r>
              <w:rPr>
                <w:rFonts w:hint="eastAsia"/>
              </w:rPr>
              <w:t>成</w:t>
            </w:r>
          </w:p>
          <w:p>
            <w:pPr>
              <w:pStyle w:val="12"/>
            </w:pPr>
            <w:r>
              <w:rPr>
                <w:rFonts w:hint="eastAsia"/>
              </w:rPr>
              <w:t>果</w:t>
            </w:r>
          </w:p>
        </w:tc>
        <w:tc>
          <w:tcPr>
            <w:tcW w:w="1275" w:type="dxa"/>
            <w:vMerge w:val="restart"/>
            <w:vAlign w:val="center"/>
          </w:tcPr>
          <w:p>
            <w:pPr>
              <w:pStyle w:val="13"/>
            </w:pPr>
            <w:r>
              <w:rPr>
                <w:rFonts w:hint="eastAsia"/>
              </w:rPr>
              <w:t>科技成果奖</w:t>
            </w:r>
          </w:p>
        </w:tc>
        <w:tc>
          <w:tcPr>
            <w:tcW w:w="3221" w:type="dxa"/>
            <w:vAlign w:val="center"/>
          </w:tcPr>
          <w:p>
            <w:pPr>
              <w:pStyle w:val="13"/>
            </w:pPr>
            <w:r>
              <w:rPr>
                <w:rFonts w:hint="eastAsia"/>
              </w:rPr>
              <w:t>国家级</w:t>
            </w:r>
          </w:p>
        </w:tc>
        <w:tc>
          <w:tcPr>
            <w:tcW w:w="2333" w:type="dxa"/>
            <w:vAlign w:val="center"/>
          </w:tcPr>
          <w:p>
            <w:pPr>
              <w:pStyle w:val="13"/>
            </w:pPr>
            <w:r>
              <w:rPr>
                <w:rFonts w:hint="eastAsia"/>
              </w:rPr>
              <w:t>一、二、三等奖</w:t>
            </w:r>
          </w:p>
        </w:tc>
        <w:tc>
          <w:tcPr>
            <w:tcW w:w="1428" w:type="dxa"/>
            <w:vAlign w:val="center"/>
          </w:tcPr>
          <w:p>
            <w:pPr>
              <w:pStyle w:val="13"/>
            </w:pPr>
            <w: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省级</w:t>
            </w:r>
          </w:p>
        </w:tc>
        <w:tc>
          <w:tcPr>
            <w:tcW w:w="2333" w:type="dxa"/>
            <w:vAlign w:val="center"/>
          </w:tcPr>
          <w:p>
            <w:pPr>
              <w:pStyle w:val="13"/>
            </w:pPr>
            <w:r>
              <w:rPr>
                <w:rFonts w:hint="eastAsia"/>
              </w:rPr>
              <w:t>特、一、二、三等奖</w:t>
            </w:r>
          </w:p>
        </w:tc>
        <w:tc>
          <w:tcPr>
            <w:tcW w:w="1428" w:type="dxa"/>
            <w:vAlign w:val="center"/>
          </w:tcPr>
          <w:p>
            <w:pPr>
              <w:pStyle w:val="13"/>
            </w:pPr>
            <w: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科学研究项目</w:t>
            </w:r>
          </w:p>
        </w:tc>
        <w:tc>
          <w:tcPr>
            <w:tcW w:w="3221" w:type="dxa"/>
            <w:vAlign w:val="center"/>
          </w:tcPr>
          <w:p>
            <w:pPr>
              <w:pStyle w:val="13"/>
            </w:pPr>
            <w:r>
              <w:rPr>
                <w:rFonts w:hint="eastAsia"/>
              </w:rPr>
              <w:t>完成立项申报、实验研究、结题等全过程且项目结题通过验收的项目负责人</w:t>
            </w:r>
          </w:p>
        </w:tc>
        <w:tc>
          <w:tcPr>
            <w:tcW w:w="2333" w:type="dxa"/>
            <w:vAlign w:val="center"/>
          </w:tcPr>
          <w:p>
            <w:pPr>
              <w:pStyle w:val="13"/>
            </w:pPr>
            <w:r>
              <w:rPr>
                <w:rFonts w:hint="eastAsia"/>
              </w:rPr>
              <w:t>国家级、省级、市级</w:t>
            </w:r>
          </w:p>
        </w:tc>
        <w:tc>
          <w:tcPr>
            <w:tcW w:w="1428" w:type="dxa"/>
            <w:vAlign w:val="center"/>
          </w:tcPr>
          <w:p>
            <w:pPr>
              <w:pStyle w:val="13"/>
            </w:pPr>
            <w: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专利</w:t>
            </w:r>
          </w:p>
        </w:tc>
        <w:tc>
          <w:tcPr>
            <w:tcW w:w="3221" w:type="dxa"/>
            <w:vAlign w:val="center"/>
          </w:tcPr>
          <w:p>
            <w:pPr>
              <w:pStyle w:val="13"/>
            </w:pPr>
            <w:r>
              <w:rPr>
                <w:rFonts w:hint="eastAsia"/>
              </w:rPr>
              <w:t>发明专利，实用新型、产品外观专利、软件著作权</w:t>
            </w:r>
          </w:p>
        </w:tc>
        <w:tc>
          <w:tcPr>
            <w:tcW w:w="2333" w:type="dxa"/>
            <w:vAlign w:val="center"/>
          </w:tcPr>
          <w:p>
            <w:pPr>
              <w:pStyle w:val="13"/>
            </w:pPr>
            <w:r>
              <w:rPr>
                <w:rFonts w:hint="eastAsia"/>
              </w:rPr>
              <w:t>类别（第一发明人）</w:t>
            </w:r>
          </w:p>
        </w:tc>
        <w:tc>
          <w:tcPr>
            <w:tcW w:w="1428" w:type="dxa"/>
            <w:vAlign w:val="center"/>
          </w:tcPr>
          <w:p>
            <w:pPr>
              <w:pStyle w:val="13"/>
            </w:pPr>
            <w: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学</w:t>
            </w:r>
          </w:p>
          <w:p>
            <w:pPr>
              <w:pStyle w:val="12"/>
            </w:pPr>
            <w:r>
              <w:rPr>
                <w:rFonts w:hint="eastAsia"/>
              </w:rPr>
              <w:t>科</w:t>
            </w:r>
          </w:p>
          <w:p>
            <w:pPr>
              <w:pStyle w:val="12"/>
            </w:pPr>
            <w:r>
              <w:rPr>
                <w:rFonts w:hint="eastAsia"/>
              </w:rPr>
              <w:t>竞</w:t>
            </w:r>
          </w:p>
          <w:p>
            <w:pPr>
              <w:pStyle w:val="12"/>
            </w:pPr>
            <w:r>
              <w:rPr>
                <w:rFonts w:hint="eastAsia"/>
              </w:rPr>
              <w:t>赛</w:t>
            </w:r>
          </w:p>
        </w:tc>
        <w:tc>
          <w:tcPr>
            <w:tcW w:w="1275" w:type="dxa"/>
            <w:vAlign w:val="center"/>
          </w:tcPr>
          <w:p>
            <w:pPr>
              <w:pStyle w:val="13"/>
            </w:pPr>
            <w:r>
              <w:rPr>
                <w:rFonts w:hint="eastAsia"/>
              </w:rPr>
              <w:t>国际级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国家级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省级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校级</w:t>
            </w:r>
          </w:p>
        </w:tc>
        <w:tc>
          <w:tcPr>
            <w:tcW w:w="3221" w:type="dxa"/>
            <w:vAlign w:val="center"/>
          </w:tcPr>
          <w:p>
            <w:pPr>
              <w:pStyle w:val="13"/>
            </w:pPr>
            <w:r>
              <w:rPr>
                <w:rFonts w:hint="eastAsia"/>
              </w:rPr>
              <w:t>特、一、二等奖</w:t>
            </w:r>
          </w:p>
        </w:tc>
        <w:tc>
          <w:tcPr>
            <w:tcW w:w="2333" w:type="dxa"/>
            <w:vAlign w:val="center"/>
          </w:tcPr>
          <w:p>
            <w:pPr>
              <w:pStyle w:val="13"/>
            </w:pPr>
            <w:r>
              <w:rPr>
                <w:rFonts w:hint="eastAsia"/>
              </w:rPr>
              <w:t>按获奖等级（排序第一）</w:t>
            </w:r>
          </w:p>
        </w:tc>
        <w:tc>
          <w:tcPr>
            <w:tcW w:w="1428" w:type="dxa"/>
            <w:vAlign w:val="center"/>
          </w:tcPr>
          <w:p>
            <w:pPr>
              <w:pStyle w:val="13"/>
            </w:pPr>
            <w: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课</w:t>
            </w:r>
          </w:p>
          <w:p>
            <w:pPr>
              <w:pStyle w:val="12"/>
            </w:pPr>
            <w:r>
              <w:rPr>
                <w:rFonts w:hint="eastAsia"/>
              </w:rPr>
              <w:t>外</w:t>
            </w:r>
          </w:p>
          <w:p>
            <w:pPr>
              <w:pStyle w:val="12"/>
            </w:pPr>
            <w:r>
              <w:rPr>
                <w:rFonts w:hint="eastAsia"/>
              </w:rPr>
              <w:t>实</w:t>
            </w:r>
          </w:p>
          <w:p>
            <w:pPr>
              <w:pStyle w:val="12"/>
            </w:pPr>
            <w:r>
              <w:rPr>
                <w:rFonts w:hint="eastAsia"/>
              </w:rPr>
              <w:t>践</w:t>
            </w:r>
          </w:p>
          <w:p>
            <w:pPr>
              <w:pStyle w:val="12"/>
            </w:pPr>
          </w:p>
        </w:tc>
        <w:tc>
          <w:tcPr>
            <w:tcW w:w="1275" w:type="dxa"/>
            <w:vAlign w:val="center"/>
          </w:tcPr>
          <w:p>
            <w:pPr>
              <w:pStyle w:val="13"/>
            </w:pPr>
            <w:r>
              <w:rPr>
                <w:rFonts w:hint="eastAsia"/>
              </w:rPr>
              <w:t>科技创新类</w:t>
            </w:r>
          </w:p>
        </w:tc>
        <w:tc>
          <w:tcPr>
            <w:tcW w:w="3221" w:type="dxa"/>
            <w:vAlign w:val="center"/>
          </w:tcPr>
          <w:p>
            <w:pPr>
              <w:pStyle w:val="13"/>
            </w:pPr>
            <w:r>
              <w:rPr>
                <w:rFonts w:hint="eastAsia"/>
              </w:rPr>
              <w:t>成果推广</w:t>
            </w:r>
          </w:p>
        </w:tc>
        <w:tc>
          <w:tcPr>
            <w:tcW w:w="2333" w:type="dxa"/>
            <w:vAlign w:val="center"/>
          </w:tcPr>
          <w:p>
            <w:pPr>
              <w:pStyle w:val="13"/>
            </w:pPr>
            <w:r>
              <w:rPr>
                <w:rFonts w:hint="eastAsia"/>
              </w:rPr>
              <w:t>按推广效果</w:t>
            </w:r>
          </w:p>
        </w:tc>
        <w:tc>
          <w:tcPr>
            <w:tcW w:w="1428" w:type="dxa"/>
            <w:vAlign w:val="center"/>
          </w:tcPr>
          <w:p>
            <w:pPr>
              <w:pStyle w:val="13"/>
            </w:pPr>
            <w: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技能考试</w:t>
            </w:r>
          </w:p>
        </w:tc>
        <w:tc>
          <w:tcPr>
            <w:tcW w:w="3221" w:type="dxa"/>
            <w:vAlign w:val="center"/>
          </w:tcPr>
          <w:p>
            <w:pPr>
              <w:pStyle w:val="13"/>
            </w:pPr>
            <w:r>
              <w:rPr>
                <w:rFonts w:hint="eastAsia"/>
              </w:rPr>
              <w:t>国家职业资格技能鉴定考试</w:t>
            </w:r>
          </w:p>
        </w:tc>
        <w:tc>
          <w:tcPr>
            <w:tcW w:w="2333" w:type="dxa"/>
            <w:vAlign w:val="center"/>
          </w:tcPr>
          <w:p>
            <w:pPr>
              <w:pStyle w:val="13"/>
            </w:pPr>
            <w:r>
              <w:rPr>
                <w:rFonts w:hint="eastAsia"/>
              </w:rPr>
              <w:t>获高级证书（</w:t>
            </w:r>
            <w:r>
              <w:t>3</w:t>
            </w:r>
            <w:r>
              <w:rPr>
                <w:rFonts w:hint="eastAsia"/>
              </w:rPr>
              <w:t>级）</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国家专业技术资格考试</w:t>
            </w:r>
          </w:p>
        </w:tc>
        <w:tc>
          <w:tcPr>
            <w:tcW w:w="2333" w:type="dxa"/>
            <w:vAlign w:val="center"/>
          </w:tcPr>
          <w:p>
            <w:pPr>
              <w:pStyle w:val="13"/>
            </w:pPr>
            <w:r>
              <w:rPr>
                <w:rFonts w:hint="eastAsia"/>
              </w:rPr>
              <w:t>获初、中、高级证书</w:t>
            </w:r>
          </w:p>
        </w:tc>
        <w:tc>
          <w:tcPr>
            <w:tcW w:w="1428" w:type="dxa"/>
            <w:vAlign w:val="center"/>
          </w:tcPr>
          <w:p>
            <w:pPr>
              <w:pStyle w:val="13"/>
            </w:pPr>
            <w: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驾驶技术考试</w:t>
            </w:r>
          </w:p>
        </w:tc>
        <w:tc>
          <w:tcPr>
            <w:tcW w:w="2333" w:type="dxa"/>
            <w:vAlign w:val="center"/>
          </w:tcPr>
          <w:p>
            <w:pPr>
              <w:pStyle w:val="13"/>
            </w:pPr>
            <w:r>
              <w:rPr>
                <w:rFonts w:hint="eastAsia"/>
              </w:rPr>
              <w:t>获得驾驶证</w:t>
            </w:r>
          </w:p>
        </w:tc>
        <w:tc>
          <w:tcPr>
            <w:tcW w:w="1428" w:type="dxa"/>
            <w:vAlign w:val="center"/>
          </w:tcPr>
          <w:p>
            <w:pPr>
              <w:pStyle w:val="13"/>
            </w:pPr>
            <w: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行业考试</w:t>
            </w:r>
          </w:p>
        </w:tc>
        <w:tc>
          <w:tcPr>
            <w:tcW w:w="3221" w:type="dxa"/>
            <w:vAlign w:val="center"/>
          </w:tcPr>
          <w:p>
            <w:pPr>
              <w:pStyle w:val="13"/>
            </w:pPr>
            <w:r>
              <w:rPr>
                <w:rFonts w:hint="eastAsia"/>
              </w:rPr>
              <w:t>参加全国行业资格统考</w:t>
            </w:r>
          </w:p>
        </w:tc>
        <w:tc>
          <w:tcPr>
            <w:tcW w:w="2333" w:type="dxa"/>
            <w:vAlign w:val="center"/>
          </w:tcPr>
          <w:p>
            <w:pPr>
              <w:pStyle w:val="13"/>
            </w:pPr>
            <w:r>
              <w:rPr>
                <w:rFonts w:hint="eastAsia"/>
              </w:rPr>
              <w:t>获得相应证书</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国家级注册水平考试</w:t>
            </w:r>
          </w:p>
        </w:tc>
        <w:tc>
          <w:tcPr>
            <w:tcW w:w="2333" w:type="dxa"/>
            <w:vAlign w:val="center"/>
          </w:tcPr>
          <w:p>
            <w:pPr>
              <w:pStyle w:val="13"/>
            </w:pPr>
            <w:r>
              <w:rPr>
                <w:rFonts w:hint="eastAsia"/>
              </w:rPr>
              <w:t>获得相应证书</w:t>
            </w:r>
          </w:p>
        </w:tc>
        <w:tc>
          <w:tcPr>
            <w:tcW w:w="1428" w:type="dxa"/>
            <w:vAlign w:val="center"/>
          </w:tcPr>
          <w:p>
            <w:pPr>
              <w:pStyle w:val="13"/>
            </w:pPr>
            <w: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学科考试</w:t>
            </w:r>
          </w:p>
        </w:tc>
        <w:tc>
          <w:tcPr>
            <w:tcW w:w="3221" w:type="dxa"/>
            <w:vAlign w:val="center"/>
          </w:tcPr>
          <w:p>
            <w:pPr>
              <w:pStyle w:val="13"/>
            </w:pPr>
            <w:r>
              <w:rPr>
                <w:rFonts w:hint="eastAsia"/>
              </w:rPr>
              <w:t>外语水平考试英语六级、八级（外语）、托福、雅思</w:t>
            </w:r>
          </w:p>
        </w:tc>
        <w:tc>
          <w:tcPr>
            <w:tcW w:w="2333" w:type="dxa"/>
            <w:vAlign w:val="center"/>
          </w:tcPr>
          <w:p>
            <w:pPr>
              <w:pStyle w:val="13"/>
            </w:pPr>
            <w:r>
              <w:rPr>
                <w:rFonts w:hint="eastAsia"/>
              </w:rPr>
              <w:t>考试成绩达到学校要求</w:t>
            </w:r>
          </w:p>
        </w:tc>
        <w:tc>
          <w:tcPr>
            <w:tcW w:w="1428" w:type="dxa"/>
            <w:vAlign w:val="center"/>
          </w:tcPr>
          <w:p>
            <w:pPr>
              <w:pStyle w:val="13"/>
            </w:pPr>
            <w: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普通话测试</w:t>
            </w:r>
          </w:p>
        </w:tc>
        <w:tc>
          <w:tcPr>
            <w:tcW w:w="2333" w:type="dxa"/>
            <w:vAlign w:val="center"/>
          </w:tcPr>
          <w:p>
            <w:pPr>
              <w:pStyle w:val="13"/>
            </w:pPr>
            <w:r>
              <w:rPr>
                <w:rFonts w:hint="eastAsia"/>
              </w:rPr>
              <w:t>二级乙等以上</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系</w:t>
            </w:r>
          </w:p>
          <w:p>
            <w:pPr>
              <w:pStyle w:val="12"/>
            </w:pPr>
            <w:r>
              <w:rPr>
                <w:rFonts w:hint="eastAsia"/>
              </w:rPr>
              <w:t>列</w:t>
            </w:r>
          </w:p>
          <w:p>
            <w:pPr>
              <w:pStyle w:val="12"/>
            </w:pPr>
            <w:r>
              <w:rPr>
                <w:rFonts w:hint="eastAsia"/>
              </w:rPr>
              <w:t>讲</w:t>
            </w:r>
          </w:p>
          <w:p>
            <w:pPr>
              <w:pStyle w:val="12"/>
            </w:pPr>
            <w:r>
              <w:rPr>
                <w:rFonts w:hint="eastAsia"/>
              </w:rPr>
              <w:t>座</w:t>
            </w:r>
          </w:p>
        </w:tc>
        <w:tc>
          <w:tcPr>
            <w:tcW w:w="1275" w:type="dxa"/>
            <w:vMerge w:val="restart"/>
            <w:vAlign w:val="center"/>
          </w:tcPr>
          <w:p>
            <w:pPr>
              <w:pStyle w:val="13"/>
            </w:pPr>
            <w:r>
              <w:rPr>
                <w:rFonts w:hint="eastAsia"/>
              </w:rPr>
              <w:t>学术报告、讲座</w:t>
            </w:r>
          </w:p>
        </w:tc>
        <w:tc>
          <w:tcPr>
            <w:tcW w:w="3221" w:type="dxa"/>
            <w:vAlign w:val="center"/>
          </w:tcPr>
          <w:p>
            <w:pPr>
              <w:pStyle w:val="13"/>
            </w:pPr>
            <w:r>
              <w:rPr>
                <w:rFonts w:hint="eastAsia"/>
              </w:rPr>
              <w:t>毓秀讲堂或经各学部组织并报教务处备案的学术讲座</w:t>
            </w:r>
          </w:p>
        </w:tc>
        <w:tc>
          <w:tcPr>
            <w:tcW w:w="2333" w:type="dxa"/>
            <w:vAlign w:val="center"/>
          </w:tcPr>
          <w:p>
            <w:pPr>
              <w:pStyle w:val="13"/>
            </w:pPr>
            <w:r>
              <w:rPr>
                <w:rFonts w:hint="eastAsia"/>
              </w:rPr>
              <w:t>累计四次/八次以上并撰写总结</w:t>
            </w:r>
          </w:p>
        </w:tc>
        <w:tc>
          <w:tcPr>
            <w:tcW w:w="1428" w:type="dxa"/>
            <w:vAlign w:val="center"/>
          </w:tcPr>
          <w:p>
            <w:pPr>
              <w:pStyle w:val="13"/>
            </w:pPr>
            <w: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华图一小时系列讲座</w:t>
            </w:r>
          </w:p>
        </w:tc>
        <w:tc>
          <w:tcPr>
            <w:tcW w:w="2333" w:type="dxa"/>
            <w:vAlign w:val="center"/>
          </w:tcPr>
          <w:p>
            <w:pPr>
              <w:pStyle w:val="13"/>
            </w:pPr>
            <w:r>
              <w:rPr>
                <w:rFonts w:hint="eastAsia"/>
              </w:rPr>
              <w:t>完成课程成绩合格</w:t>
            </w:r>
          </w:p>
        </w:tc>
        <w:tc>
          <w:tcPr>
            <w:tcW w:w="1428" w:type="dxa"/>
            <w:vAlign w:val="center"/>
          </w:tcPr>
          <w:p>
            <w:pPr>
              <w:pStyle w:val="13"/>
            </w:pPr>
            <w:r>
              <w:t>1</w:t>
            </w:r>
          </w:p>
        </w:tc>
      </w:tr>
    </w:tbl>
    <w:p>
      <w:pPr>
        <w:pStyle w:val="2"/>
        <w:spacing w:before="163"/>
        <w:ind w:firstLine="562"/>
      </w:pPr>
      <w:r>
        <w:rPr>
          <w:rFonts w:ascii="Calibri" w:hAnsi="Calibri" w:cs="Times New Roman"/>
          <w:b/>
          <w:szCs w:val="28"/>
        </w:rPr>
        <w:br w:type="page"/>
      </w:r>
      <w:r>
        <w:rPr>
          <w:rFonts w:hint="eastAsia"/>
        </w:rPr>
        <w:t>八、专业核心课程内容概述</w:t>
      </w:r>
    </w:p>
    <w:p>
      <w:pPr>
        <w:pStyle w:val="3"/>
      </w:pPr>
      <w:r>
        <w:rPr>
          <w:rFonts w:hint="eastAsia"/>
        </w:rPr>
        <w:t>自动控制理论：</w:t>
      </w:r>
    </w:p>
    <w:p>
      <w:pPr>
        <w:ind w:firstLine="480"/>
      </w:pPr>
      <w:r>
        <w:rPr>
          <w:rFonts w:hint="eastAsia"/>
        </w:rPr>
        <w:t>通过本课程的学习将为学习自动控制方面的其它课程奠定良好的理论基础。课程教学所要达到的目的：使学生正确理解和掌握本课程所涉及的基本概念、基本理论和基本分析方法。能独立地应用这些基本理论、基本方法来分析实际工程中提炼出来的各种控制理论问题；同时强化动态的、系统的思想方法。并使学生具有一定的工程计算和设计能力。</w:t>
      </w:r>
    </w:p>
    <w:p>
      <w:pPr>
        <w:pStyle w:val="3"/>
      </w:pPr>
      <w:r>
        <w:rPr>
          <w:rFonts w:hint="eastAsia"/>
        </w:rPr>
        <w:t>电机与电力拖动：</w:t>
      </w:r>
    </w:p>
    <w:p>
      <w:pPr>
        <w:ind w:firstLine="480"/>
        <w:rPr>
          <w:rFonts w:cs="Times New Roman"/>
        </w:rPr>
      </w:pPr>
      <w:r>
        <w:rPr>
          <w:rFonts w:hint="eastAsia"/>
        </w:rPr>
        <w:t>电机与电力拖是本专业学生一门重要的理论与应用相结合的必修专业基础课。主要目的是使学生通过学习本课程，熟悉掌握常用交直流电机、变压器等的结构、工作原理、参数、运行特性及分析计算与实训实验方法，为进一步学习后续的专业课程及从事自动化技术打下较好的理论基础。</w:t>
      </w:r>
    </w:p>
    <w:p>
      <w:pPr>
        <w:pStyle w:val="3"/>
      </w:pPr>
      <w:r>
        <w:rPr>
          <w:rFonts w:hint="eastAsia"/>
        </w:rPr>
        <w:t>机械设计基础（含力学）：</w:t>
      </w:r>
    </w:p>
    <w:p>
      <w:pPr>
        <w:ind w:firstLine="480"/>
        <w:rPr>
          <w:rFonts w:cs="Times New Roman"/>
        </w:rPr>
      </w:pPr>
      <w:r>
        <w:t>本课程具有较强的综合性和实践性。学习本课程之前，学生应具备一定的数学计算及推理能力、机械制图及读图能力、材料及金属加工工艺的基础知识。通过本课程的学习，应使学生达到以下要求：掌握工程力学的基础知识和一般分析方法。熟悉常用机构的工作原理和特性，初步具备分析与选用常用机构的能力。掌握通用机械零件的结构特点、类型选择、工作能力计算及使用、维护知识。初步具有运用“手册”和“标准”的基本能力。</w:t>
      </w:r>
    </w:p>
    <w:p>
      <w:pPr>
        <w:pStyle w:val="3"/>
      </w:pPr>
      <w:r>
        <w:rPr>
          <w:rFonts w:hint="eastAsia"/>
        </w:rPr>
        <w:t>微机原理与接口技术：</w:t>
      </w:r>
    </w:p>
    <w:p>
      <w:pPr>
        <w:ind w:firstLine="480"/>
        <w:rPr>
          <w:rFonts w:cs="Times New Roman"/>
        </w:rPr>
      </w:pPr>
      <w:r>
        <w:rPr>
          <w:kern w:val="0"/>
        </w:rPr>
        <w:t>通过对本课程的学习，使学生基本掌握微机系统组成原理、汇编语言的程序设计及接口技术，为进一步学习和应用微机控制技术打下良好的基础。本课程的任务是，学习典型微型计算机系统的基本结构，理解微型计算机系统的基本工作原理，掌握8086/8088CPU指令系统及汇编语言程序设计的方法，掌握微处理器及其接口电路的功能与设计，建立微机系统的整体概念，使学生具有运用微机软硬件技术开发应用系统的初步能力。</w:t>
      </w:r>
    </w:p>
    <w:p>
      <w:pPr>
        <w:pStyle w:val="3"/>
      </w:pPr>
      <w:r>
        <w:rPr>
          <w:rFonts w:hint="eastAsia"/>
        </w:rPr>
        <w:t>电器与可编程控制器：</w:t>
      </w:r>
    </w:p>
    <w:p>
      <w:pPr>
        <w:ind w:firstLine="480"/>
        <w:rPr>
          <w:rFonts w:cs="Times New Roman"/>
        </w:rPr>
      </w:pPr>
      <w:r>
        <w:rPr>
          <w:rFonts w:hint="eastAsia"/>
          <w:kern w:val="10"/>
        </w:rPr>
        <w:t>通过本课程的学习，可以使学生掌握可编程控制器的基本组成、常用的编程指令及其编程方法、可编程控制器的程序设计与系统调试方法。结合工程实际，运用相关的基本理论和技能，解决有关电气控制应用方面的一般工程控制问题。</w:t>
      </w:r>
    </w:p>
    <w:p>
      <w:pPr>
        <w:pStyle w:val="3"/>
      </w:pPr>
      <w:r>
        <w:rPr>
          <w:rFonts w:hint="eastAsia"/>
        </w:rPr>
        <w:t>机器人运动学与控制：</w:t>
      </w:r>
    </w:p>
    <w:p>
      <w:pPr>
        <w:ind w:firstLine="480"/>
        <w:rPr>
          <w:rFonts w:cs="Times New Roman"/>
        </w:rPr>
      </w:pPr>
      <w:r>
        <w:rPr>
          <w:rFonts w:hint="eastAsia"/>
          <w:kern w:val="0"/>
        </w:rPr>
        <w:t>该课程主要学习</w:t>
      </w:r>
      <w:r>
        <w:rPr>
          <w:kern w:val="0"/>
        </w:rPr>
        <w:t>机器人技术的发展及其种类、工作原理，机器人设计、控制与编程的基本方法</w:t>
      </w:r>
      <w:r>
        <w:rPr>
          <w:rFonts w:hint="eastAsia"/>
          <w:kern w:val="0"/>
        </w:rPr>
        <w:t>；</w:t>
      </w:r>
      <w:r>
        <w:rPr>
          <w:kern w:val="0"/>
        </w:rPr>
        <w:t>机器人机械系统分析的数学、力学基础。</w:t>
      </w:r>
      <w:r>
        <w:rPr>
          <w:rFonts w:hint="eastAsia"/>
          <w:kern w:val="0"/>
        </w:rPr>
        <w:t>；</w:t>
      </w:r>
      <w:r>
        <w:rPr>
          <w:kern w:val="0"/>
        </w:rPr>
        <w:t>串联机器人操作手运动静力学和动力学。机器人的轨迹规划问题，插补方式分类与轨迹控制方法，轨迹规划和连续路径轨迹的表示方法。并联机器人、轮式机器人动力学分析方法。机器人运动控制问题，包括运动控制与动态控制、多关节机器人的控制、线性化模型设计机器人控制器方法、机器人力控制</w:t>
      </w:r>
      <w:r>
        <w:rPr>
          <w:rFonts w:hint="eastAsia"/>
          <w:kern w:val="0"/>
        </w:rPr>
        <w:t>、</w:t>
      </w:r>
      <w:r>
        <w:rPr>
          <w:kern w:val="0"/>
        </w:rPr>
        <w:t>机器人手臂的自适应控制和学习控制等。</w:t>
      </w:r>
    </w:p>
    <w:p>
      <w:pPr>
        <w:pStyle w:val="3"/>
      </w:pPr>
      <w:r>
        <w:rPr>
          <w:rFonts w:hint="eastAsia"/>
        </w:rPr>
        <w:t>机器视觉与传感器：</w:t>
      </w:r>
    </w:p>
    <w:p>
      <w:pPr>
        <w:ind w:firstLine="480"/>
        <w:rPr>
          <w:rFonts w:cs="Times New Roman"/>
        </w:rPr>
      </w:pPr>
      <w:r>
        <w:rPr>
          <w:rFonts w:hint="eastAsia"/>
          <w:kern w:val="0"/>
        </w:rPr>
        <w:t>本课程主要学习机器人传感器的基础知识和工作原理，以及多传感器信息融合技术的应用。主要内容有传感器的定义与分类、基本组成，机器人的系统组成，机器人常用的传感器，智能传感器技术及应用，多传感器信息融合技术的定义、分类，多传感器信息定量和定性融合的方法，多传感器信息融合技术在装配机器人、焊接机器人、移动机器人导航、测距和避障中的应用。</w:t>
      </w:r>
    </w:p>
    <w:p>
      <w:pPr>
        <w:pStyle w:val="3"/>
      </w:pPr>
      <w:r>
        <w:t>机器人概论</w:t>
      </w:r>
      <w:r>
        <w:rPr>
          <w:rFonts w:hint="eastAsia"/>
        </w:rPr>
        <w:t>：</w:t>
      </w:r>
    </w:p>
    <w:p>
      <w:pPr>
        <w:ind w:firstLine="480"/>
        <w:rPr>
          <w:rFonts w:cs="Times New Roman"/>
        </w:rPr>
      </w:pPr>
      <w:r>
        <w:rPr>
          <w:rFonts w:hint="eastAsia"/>
        </w:rPr>
        <w:t>本课程为机器人工程专业学生重要的专业基础课之一。通过本课程的学习，了解和掌握机器人的基本原理、基础理论和工程应用方法。本课程作为机器人工程专业的专业课，先修课程：理论力学、自动控制原理课程简介：本课程主要讲述工业机器人及其应用概貌；机器人操作机的机构、运动学方程、工作空间和灵活度等基本理论；工业机器人运动控制的基本概念和实用关键技术；机器人应用中的示教方法、外设控制、安全措施等。在此基础上结合实例讲述机器人工作站和生产线的构成、设计原则和方法，以及末端执行器、变位机和机器人移动台架的选型和设计。</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YjUyOWViMjY2MjQ3MGZiMTMwODk1YTI4MTFjZGQifQ=="/>
  </w:docVars>
  <w:rsids>
    <w:rsidRoot w:val="00C46265"/>
    <w:rsid w:val="00003528"/>
    <w:rsid w:val="00006230"/>
    <w:rsid w:val="000302CD"/>
    <w:rsid w:val="000407F4"/>
    <w:rsid w:val="00044B83"/>
    <w:rsid w:val="0005277F"/>
    <w:rsid w:val="00052F5B"/>
    <w:rsid w:val="000552BB"/>
    <w:rsid w:val="00065633"/>
    <w:rsid w:val="00072033"/>
    <w:rsid w:val="00085173"/>
    <w:rsid w:val="00086736"/>
    <w:rsid w:val="0008726D"/>
    <w:rsid w:val="00095D90"/>
    <w:rsid w:val="000A07C9"/>
    <w:rsid w:val="000A1699"/>
    <w:rsid w:val="000A2CED"/>
    <w:rsid w:val="000A37FA"/>
    <w:rsid w:val="000B5DFD"/>
    <w:rsid w:val="000C2406"/>
    <w:rsid w:val="000D3350"/>
    <w:rsid w:val="000E0C5F"/>
    <w:rsid w:val="000E1230"/>
    <w:rsid w:val="000E2491"/>
    <w:rsid w:val="000E37C5"/>
    <w:rsid w:val="000E5979"/>
    <w:rsid w:val="000F25D3"/>
    <w:rsid w:val="000F4BC8"/>
    <w:rsid w:val="00104AAF"/>
    <w:rsid w:val="00117EFD"/>
    <w:rsid w:val="00121B43"/>
    <w:rsid w:val="00156917"/>
    <w:rsid w:val="001575DC"/>
    <w:rsid w:val="00166954"/>
    <w:rsid w:val="00167966"/>
    <w:rsid w:val="0017082C"/>
    <w:rsid w:val="00172570"/>
    <w:rsid w:val="001952A2"/>
    <w:rsid w:val="0019603C"/>
    <w:rsid w:val="001B3115"/>
    <w:rsid w:val="001C0417"/>
    <w:rsid w:val="001E00E9"/>
    <w:rsid w:val="001E21CF"/>
    <w:rsid w:val="001F00A7"/>
    <w:rsid w:val="001F3999"/>
    <w:rsid w:val="00201DE3"/>
    <w:rsid w:val="00211FDC"/>
    <w:rsid w:val="00215588"/>
    <w:rsid w:val="00226C2F"/>
    <w:rsid w:val="002319F8"/>
    <w:rsid w:val="0023284B"/>
    <w:rsid w:val="00236B62"/>
    <w:rsid w:val="00250E85"/>
    <w:rsid w:val="00256A5C"/>
    <w:rsid w:val="00261D5D"/>
    <w:rsid w:val="0026286E"/>
    <w:rsid w:val="00264AF6"/>
    <w:rsid w:val="0027753C"/>
    <w:rsid w:val="00277ECA"/>
    <w:rsid w:val="0028054B"/>
    <w:rsid w:val="002813DE"/>
    <w:rsid w:val="0029693A"/>
    <w:rsid w:val="00297D47"/>
    <w:rsid w:val="002A49E6"/>
    <w:rsid w:val="002B067D"/>
    <w:rsid w:val="002B636A"/>
    <w:rsid w:val="002C3952"/>
    <w:rsid w:val="002C7BB6"/>
    <w:rsid w:val="002D39BB"/>
    <w:rsid w:val="002D4491"/>
    <w:rsid w:val="002D5F62"/>
    <w:rsid w:val="002F176E"/>
    <w:rsid w:val="002F2C92"/>
    <w:rsid w:val="002F303A"/>
    <w:rsid w:val="00304746"/>
    <w:rsid w:val="00304966"/>
    <w:rsid w:val="00305071"/>
    <w:rsid w:val="00311C1A"/>
    <w:rsid w:val="00314AE0"/>
    <w:rsid w:val="00326065"/>
    <w:rsid w:val="00327A26"/>
    <w:rsid w:val="00330975"/>
    <w:rsid w:val="003352FD"/>
    <w:rsid w:val="00341324"/>
    <w:rsid w:val="0034679A"/>
    <w:rsid w:val="00354425"/>
    <w:rsid w:val="00360188"/>
    <w:rsid w:val="00366585"/>
    <w:rsid w:val="003668FF"/>
    <w:rsid w:val="0038326F"/>
    <w:rsid w:val="003879A6"/>
    <w:rsid w:val="003A0A7B"/>
    <w:rsid w:val="003A450E"/>
    <w:rsid w:val="003B53FA"/>
    <w:rsid w:val="003C6D9D"/>
    <w:rsid w:val="003C72D0"/>
    <w:rsid w:val="003C7A00"/>
    <w:rsid w:val="003D1554"/>
    <w:rsid w:val="003D3C14"/>
    <w:rsid w:val="003D4409"/>
    <w:rsid w:val="003D4B02"/>
    <w:rsid w:val="003E237B"/>
    <w:rsid w:val="003E312E"/>
    <w:rsid w:val="003E3483"/>
    <w:rsid w:val="003E5DFB"/>
    <w:rsid w:val="003E7A03"/>
    <w:rsid w:val="003F18A2"/>
    <w:rsid w:val="004051FC"/>
    <w:rsid w:val="00411C12"/>
    <w:rsid w:val="00415C74"/>
    <w:rsid w:val="00423630"/>
    <w:rsid w:val="00426229"/>
    <w:rsid w:val="00436FB3"/>
    <w:rsid w:val="00437C3C"/>
    <w:rsid w:val="00437DBC"/>
    <w:rsid w:val="00451396"/>
    <w:rsid w:val="004536B3"/>
    <w:rsid w:val="00455948"/>
    <w:rsid w:val="00462818"/>
    <w:rsid w:val="00463ACA"/>
    <w:rsid w:val="00475FCF"/>
    <w:rsid w:val="004779B1"/>
    <w:rsid w:val="004814A3"/>
    <w:rsid w:val="00492A4F"/>
    <w:rsid w:val="00496EB5"/>
    <w:rsid w:val="00497355"/>
    <w:rsid w:val="00497E2C"/>
    <w:rsid w:val="004A3886"/>
    <w:rsid w:val="004C52D7"/>
    <w:rsid w:val="004D1C83"/>
    <w:rsid w:val="004D7E7F"/>
    <w:rsid w:val="004E08C2"/>
    <w:rsid w:val="004E5968"/>
    <w:rsid w:val="004F0AE3"/>
    <w:rsid w:val="004F47EE"/>
    <w:rsid w:val="00500F0E"/>
    <w:rsid w:val="00503DD4"/>
    <w:rsid w:val="00506FC0"/>
    <w:rsid w:val="00512A4B"/>
    <w:rsid w:val="00515F4B"/>
    <w:rsid w:val="005174C4"/>
    <w:rsid w:val="0052369E"/>
    <w:rsid w:val="00523EDB"/>
    <w:rsid w:val="0052557C"/>
    <w:rsid w:val="00530DA1"/>
    <w:rsid w:val="00531E78"/>
    <w:rsid w:val="00533967"/>
    <w:rsid w:val="00537809"/>
    <w:rsid w:val="00540D11"/>
    <w:rsid w:val="00545E41"/>
    <w:rsid w:val="00546A8A"/>
    <w:rsid w:val="0055331B"/>
    <w:rsid w:val="005550BB"/>
    <w:rsid w:val="00556A16"/>
    <w:rsid w:val="00556E5E"/>
    <w:rsid w:val="00560F9B"/>
    <w:rsid w:val="00573908"/>
    <w:rsid w:val="00582B2F"/>
    <w:rsid w:val="00587376"/>
    <w:rsid w:val="00591241"/>
    <w:rsid w:val="00591371"/>
    <w:rsid w:val="005A3CBD"/>
    <w:rsid w:val="005A3F51"/>
    <w:rsid w:val="005A7CA2"/>
    <w:rsid w:val="005B18D7"/>
    <w:rsid w:val="005B2863"/>
    <w:rsid w:val="005B4A14"/>
    <w:rsid w:val="005C3196"/>
    <w:rsid w:val="005C567E"/>
    <w:rsid w:val="005C778E"/>
    <w:rsid w:val="005C7AE5"/>
    <w:rsid w:val="005D44EA"/>
    <w:rsid w:val="005E077B"/>
    <w:rsid w:val="005F493D"/>
    <w:rsid w:val="005F6194"/>
    <w:rsid w:val="005F6817"/>
    <w:rsid w:val="00602D75"/>
    <w:rsid w:val="00606BDA"/>
    <w:rsid w:val="006235F3"/>
    <w:rsid w:val="00635BA3"/>
    <w:rsid w:val="00646967"/>
    <w:rsid w:val="00650DA7"/>
    <w:rsid w:val="006609D2"/>
    <w:rsid w:val="006613D0"/>
    <w:rsid w:val="0066166F"/>
    <w:rsid w:val="0066402F"/>
    <w:rsid w:val="006673AE"/>
    <w:rsid w:val="006722A8"/>
    <w:rsid w:val="00675E0A"/>
    <w:rsid w:val="0068344C"/>
    <w:rsid w:val="006A2046"/>
    <w:rsid w:val="006A733B"/>
    <w:rsid w:val="006B2B8C"/>
    <w:rsid w:val="006C0872"/>
    <w:rsid w:val="006C18A2"/>
    <w:rsid w:val="006D3E1C"/>
    <w:rsid w:val="006D67BA"/>
    <w:rsid w:val="006E5CF6"/>
    <w:rsid w:val="006F2E7E"/>
    <w:rsid w:val="006F2F39"/>
    <w:rsid w:val="006F5D61"/>
    <w:rsid w:val="007015B8"/>
    <w:rsid w:val="00706B49"/>
    <w:rsid w:val="00712605"/>
    <w:rsid w:val="00716EB7"/>
    <w:rsid w:val="007222D6"/>
    <w:rsid w:val="00747391"/>
    <w:rsid w:val="00752959"/>
    <w:rsid w:val="00762E92"/>
    <w:rsid w:val="00763132"/>
    <w:rsid w:val="00765A0C"/>
    <w:rsid w:val="007735A2"/>
    <w:rsid w:val="007761E8"/>
    <w:rsid w:val="007767F5"/>
    <w:rsid w:val="0078102E"/>
    <w:rsid w:val="00784A4C"/>
    <w:rsid w:val="007931A3"/>
    <w:rsid w:val="00794A6A"/>
    <w:rsid w:val="007A34A4"/>
    <w:rsid w:val="007B01B4"/>
    <w:rsid w:val="007C2F6E"/>
    <w:rsid w:val="007C4431"/>
    <w:rsid w:val="007C50B6"/>
    <w:rsid w:val="007D167F"/>
    <w:rsid w:val="007E64BA"/>
    <w:rsid w:val="007E7F5F"/>
    <w:rsid w:val="007F0644"/>
    <w:rsid w:val="007F1073"/>
    <w:rsid w:val="007F274C"/>
    <w:rsid w:val="008139E7"/>
    <w:rsid w:val="0081700C"/>
    <w:rsid w:val="0082179B"/>
    <w:rsid w:val="0082453D"/>
    <w:rsid w:val="0082678A"/>
    <w:rsid w:val="008327BD"/>
    <w:rsid w:val="00832ADC"/>
    <w:rsid w:val="00835F7F"/>
    <w:rsid w:val="00844B49"/>
    <w:rsid w:val="008512A7"/>
    <w:rsid w:val="00864FFF"/>
    <w:rsid w:val="00874936"/>
    <w:rsid w:val="008802B2"/>
    <w:rsid w:val="0088109F"/>
    <w:rsid w:val="00894AC8"/>
    <w:rsid w:val="008C015D"/>
    <w:rsid w:val="008C1570"/>
    <w:rsid w:val="008C2A0C"/>
    <w:rsid w:val="008C7196"/>
    <w:rsid w:val="008C758A"/>
    <w:rsid w:val="008D1D12"/>
    <w:rsid w:val="008D4B4C"/>
    <w:rsid w:val="008E15B7"/>
    <w:rsid w:val="008F0182"/>
    <w:rsid w:val="00914A47"/>
    <w:rsid w:val="00922882"/>
    <w:rsid w:val="0092528D"/>
    <w:rsid w:val="00925352"/>
    <w:rsid w:val="00925D1C"/>
    <w:rsid w:val="009307B6"/>
    <w:rsid w:val="0095122B"/>
    <w:rsid w:val="00951B93"/>
    <w:rsid w:val="009535A2"/>
    <w:rsid w:val="00953649"/>
    <w:rsid w:val="009638FA"/>
    <w:rsid w:val="00991D5B"/>
    <w:rsid w:val="009A0581"/>
    <w:rsid w:val="009A3789"/>
    <w:rsid w:val="009A5846"/>
    <w:rsid w:val="009B4DBE"/>
    <w:rsid w:val="009C2756"/>
    <w:rsid w:val="009D4E64"/>
    <w:rsid w:val="009E5A9D"/>
    <w:rsid w:val="009F1519"/>
    <w:rsid w:val="009F4550"/>
    <w:rsid w:val="009F615C"/>
    <w:rsid w:val="009F7902"/>
    <w:rsid w:val="00A026C7"/>
    <w:rsid w:val="00A06711"/>
    <w:rsid w:val="00A11ED7"/>
    <w:rsid w:val="00A1367E"/>
    <w:rsid w:val="00A17386"/>
    <w:rsid w:val="00A207E0"/>
    <w:rsid w:val="00A21367"/>
    <w:rsid w:val="00A315A3"/>
    <w:rsid w:val="00A31BCB"/>
    <w:rsid w:val="00A349C3"/>
    <w:rsid w:val="00A37E66"/>
    <w:rsid w:val="00A4140F"/>
    <w:rsid w:val="00A46459"/>
    <w:rsid w:val="00A52850"/>
    <w:rsid w:val="00A52EAC"/>
    <w:rsid w:val="00A54F52"/>
    <w:rsid w:val="00A6249C"/>
    <w:rsid w:val="00A630CD"/>
    <w:rsid w:val="00A6401F"/>
    <w:rsid w:val="00A71C5C"/>
    <w:rsid w:val="00A74104"/>
    <w:rsid w:val="00A832FB"/>
    <w:rsid w:val="00A83E9D"/>
    <w:rsid w:val="00A87F22"/>
    <w:rsid w:val="00A94B5E"/>
    <w:rsid w:val="00AA10BE"/>
    <w:rsid w:val="00AB41D5"/>
    <w:rsid w:val="00AC1088"/>
    <w:rsid w:val="00AD0D95"/>
    <w:rsid w:val="00AD37DC"/>
    <w:rsid w:val="00AE5C32"/>
    <w:rsid w:val="00AE69CA"/>
    <w:rsid w:val="00AF2EEA"/>
    <w:rsid w:val="00AF556A"/>
    <w:rsid w:val="00B1236B"/>
    <w:rsid w:val="00B12C37"/>
    <w:rsid w:val="00B17A1C"/>
    <w:rsid w:val="00B34807"/>
    <w:rsid w:val="00B44C6A"/>
    <w:rsid w:val="00B4559C"/>
    <w:rsid w:val="00B520BC"/>
    <w:rsid w:val="00B66BAB"/>
    <w:rsid w:val="00B71412"/>
    <w:rsid w:val="00B71B69"/>
    <w:rsid w:val="00B81EBF"/>
    <w:rsid w:val="00B867AF"/>
    <w:rsid w:val="00B907E2"/>
    <w:rsid w:val="00B948AB"/>
    <w:rsid w:val="00B94E0C"/>
    <w:rsid w:val="00B9661A"/>
    <w:rsid w:val="00BA1A0D"/>
    <w:rsid w:val="00BA1BC2"/>
    <w:rsid w:val="00BA5A3F"/>
    <w:rsid w:val="00BB1FC6"/>
    <w:rsid w:val="00BB4602"/>
    <w:rsid w:val="00BB6F5F"/>
    <w:rsid w:val="00BC1779"/>
    <w:rsid w:val="00BC4587"/>
    <w:rsid w:val="00BD426F"/>
    <w:rsid w:val="00BD4FD5"/>
    <w:rsid w:val="00BD59A0"/>
    <w:rsid w:val="00BE5758"/>
    <w:rsid w:val="00BE5D2E"/>
    <w:rsid w:val="00BF27A6"/>
    <w:rsid w:val="00BF2DD6"/>
    <w:rsid w:val="00BF76D4"/>
    <w:rsid w:val="00C1754A"/>
    <w:rsid w:val="00C250EA"/>
    <w:rsid w:val="00C25B73"/>
    <w:rsid w:val="00C26144"/>
    <w:rsid w:val="00C304EE"/>
    <w:rsid w:val="00C32C29"/>
    <w:rsid w:val="00C3656B"/>
    <w:rsid w:val="00C44094"/>
    <w:rsid w:val="00C4417F"/>
    <w:rsid w:val="00C46265"/>
    <w:rsid w:val="00C525C9"/>
    <w:rsid w:val="00C5295C"/>
    <w:rsid w:val="00C53AA7"/>
    <w:rsid w:val="00C54CE2"/>
    <w:rsid w:val="00C63926"/>
    <w:rsid w:val="00C63DD9"/>
    <w:rsid w:val="00C66B10"/>
    <w:rsid w:val="00C77CFF"/>
    <w:rsid w:val="00C8638A"/>
    <w:rsid w:val="00C9290B"/>
    <w:rsid w:val="00C93A4E"/>
    <w:rsid w:val="00CA0540"/>
    <w:rsid w:val="00CA132E"/>
    <w:rsid w:val="00CB187A"/>
    <w:rsid w:val="00CB18E9"/>
    <w:rsid w:val="00CC34A2"/>
    <w:rsid w:val="00CC4432"/>
    <w:rsid w:val="00CD32DE"/>
    <w:rsid w:val="00CD4822"/>
    <w:rsid w:val="00CD5B0C"/>
    <w:rsid w:val="00CF2F45"/>
    <w:rsid w:val="00D0066B"/>
    <w:rsid w:val="00D14813"/>
    <w:rsid w:val="00D23ADC"/>
    <w:rsid w:val="00D26A9E"/>
    <w:rsid w:val="00D32338"/>
    <w:rsid w:val="00D3235A"/>
    <w:rsid w:val="00D52973"/>
    <w:rsid w:val="00D57661"/>
    <w:rsid w:val="00D61F7C"/>
    <w:rsid w:val="00D701D4"/>
    <w:rsid w:val="00D810DF"/>
    <w:rsid w:val="00D82BE1"/>
    <w:rsid w:val="00D87961"/>
    <w:rsid w:val="00D912B8"/>
    <w:rsid w:val="00DA01C2"/>
    <w:rsid w:val="00DB02A0"/>
    <w:rsid w:val="00DB2178"/>
    <w:rsid w:val="00DB4DA6"/>
    <w:rsid w:val="00DC07B7"/>
    <w:rsid w:val="00DC1514"/>
    <w:rsid w:val="00DC670B"/>
    <w:rsid w:val="00DC6BAE"/>
    <w:rsid w:val="00DD0171"/>
    <w:rsid w:val="00DE53F8"/>
    <w:rsid w:val="00DE6085"/>
    <w:rsid w:val="00E03474"/>
    <w:rsid w:val="00E0573F"/>
    <w:rsid w:val="00E322A7"/>
    <w:rsid w:val="00E32EC4"/>
    <w:rsid w:val="00E35F4A"/>
    <w:rsid w:val="00E50C2A"/>
    <w:rsid w:val="00E53EDD"/>
    <w:rsid w:val="00E57BD3"/>
    <w:rsid w:val="00E72089"/>
    <w:rsid w:val="00E746CD"/>
    <w:rsid w:val="00E74FF0"/>
    <w:rsid w:val="00E77162"/>
    <w:rsid w:val="00E7794F"/>
    <w:rsid w:val="00E84001"/>
    <w:rsid w:val="00E96D56"/>
    <w:rsid w:val="00EA13C3"/>
    <w:rsid w:val="00EA26F8"/>
    <w:rsid w:val="00EA6AFC"/>
    <w:rsid w:val="00EB5038"/>
    <w:rsid w:val="00EC4E1B"/>
    <w:rsid w:val="00ED2455"/>
    <w:rsid w:val="00EE1A3F"/>
    <w:rsid w:val="00EE4D11"/>
    <w:rsid w:val="00EE62B2"/>
    <w:rsid w:val="00EF7E08"/>
    <w:rsid w:val="00F006E9"/>
    <w:rsid w:val="00F03890"/>
    <w:rsid w:val="00F10ADD"/>
    <w:rsid w:val="00F123A3"/>
    <w:rsid w:val="00F14E0A"/>
    <w:rsid w:val="00F37543"/>
    <w:rsid w:val="00F37D6F"/>
    <w:rsid w:val="00F41B8E"/>
    <w:rsid w:val="00F55307"/>
    <w:rsid w:val="00F57996"/>
    <w:rsid w:val="00F60B5C"/>
    <w:rsid w:val="00F66ED7"/>
    <w:rsid w:val="00F73E97"/>
    <w:rsid w:val="00F86A80"/>
    <w:rsid w:val="00F91886"/>
    <w:rsid w:val="00F93C43"/>
    <w:rsid w:val="00F940C6"/>
    <w:rsid w:val="00F96BB9"/>
    <w:rsid w:val="00FA120A"/>
    <w:rsid w:val="00FA4DB1"/>
    <w:rsid w:val="00FA6061"/>
    <w:rsid w:val="00FC73E4"/>
    <w:rsid w:val="00FD49F1"/>
    <w:rsid w:val="00FD7ADB"/>
    <w:rsid w:val="00FE5B73"/>
    <w:rsid w:val="00FE6F1C"/>
    <w:rsid w:val="00FF5BD1"/>
    <w:rsid w:val="027C16B8"/>
    <w:rsid w:val="04FC5B52"/>
    <w:rsid w:val="06610A75"/>
    <w:rsid w:val="06A155BA"/>
    <w:rsid w:val="080703A5"/>
    <w:rsid w:val="0A5F376B"/>
    <w:rsid w:val="0BF03398"/>
    <w:rsid w:val="0C494D0B"/>
    <w:rsid w:val="0C911107"/>
    <w:rsid w:val="0CD87A5C"/>
    <w:rsid w:val="0CFC5FE3"/>
    <w:rsid w:val="0D0322B0"/>
    <w:rsid w:val="0D2A2864"/>
    <w:rsid w:val="0E762DF7"/>
    <w:rsid w:val="0ED51816"/>
    <w:rsid w:val="0EF21EDF"/>
    <w:rsid w:val="111D4FC8"/>
    <w:rsid w:val="122F2971"/>
    <w:rsid w:val="125268DE"/>
    <w:rsid w:val="14D34FCC"/>
    <w:rsid w:val="15811F30"/>
    <w:rsid w:val="15A26444"/>
    <w:rsid w:val="15D338F7"/>
    <w:rsid w:val="16410EAA"/>
    <w:rsid w:val="16BE6725"/>
    <w:rsid w:val="16D000F9"/>
    <w:rsid w:val="181D4F96"/>
    <w:rsid w:val="1A4D7F32"/>
    <w:rsid w:val="1C9E4965"/>
    <w:rsid w:val="1CAD65BE"/>
    <w:rsid w:val="1D1633AC"/>
    <w:rsid w:val="1E2D2B64"/>
    <w:rsid w:val="1F523B07"/>
    <w:rsid w:val="1FEE0DB3"/>
    <w:rsid w:val="20184E47"/>
    <w:rsid w:val="20341601"/>
    <w:rsid w:val="212B43BE"/>
    <w:rsid w:val="24003841"/>
    <w:rsid w:val="248C6BB8"/>
    <w:rsid w:val="272D55E7"/>
    <w:rsid w:val="27BF3130"/>
    <w:rsid w:val="2A683089"/>
    <w:rsid w:val="2A68414C"/>
    <w:rsid w:val="2BCF6AFB"/>
    <w:rsid w:val="2C41192D"/>
    <w:rsid w:val="2E3B1A7A"/>
    <w:rsid w:val="2E8B7F59"/>
    <w:rsid w:val="2E907E4E"/>
    <w:rsid w:val="2EF438B5"/>
    <w:rsid w:val="309D397F"/>
    <w:rsid w:val="31493B49"/>
    <w:rsid w:val="317C135D"/>
    <w:rsid w:val="334E7C57"/>
    <w:rsid w:val="3460108E"/>
    <w:rsid w:val="34F44B73"/>
    <w:rsid w:val="35066CA7"/>
    <w:rsid w:val="36631C6B"/>
    <w:rsid w:val="3A4A658C"/>
    <w:rsid w:val="3AD75F7C"/>
    <w:rsid w:val="3DD81360"/>
    <w:rsid w:val="3E9321A8"/>
    <w:rsid w:val="424A5458"/>
    <w:rsid w:val="42B24DA4"/>
    <w:rsid w:val="44236736"/>
    <w:rsid w:val="443A563E"/>
    <w:rsid w:val="444316FE"/>
    <w:rsid w:val="44447B80"/>
    <w:rsid w:val="45F35D2E"/>
    <w:rsid w:val="47A8766D"/>
    <w:rsid w:val="492D523B"/>
    <w:rsid w:val="4D3F64A2"/>
    <w:rsid w:val="4DC95234"/>
    <w:rsid w:val="4DE613EB"/>
    <w:rsid w:val="4E2301D5"/>
    <w:rsid w:val="4EC34D44"/>
    <w:rsid w:val="4F2C1688"/>
    <w:rsid w:val="51232F90"/>
    <w:rsid w:val="518F76E6"/>
    <w:rsid w:val="51FA68D1"/>
    <w:rsid w:val="52EB3FD8"/>
    <w:rsid w:val="54191E46"/>
    <w:rsid w:val="56B52653"/>
    <w:rsid w:val="56B52752"/>
    <w:rsid w:val="5781101E"/>
    <w:rsid w:val="59E27650"/>
    <w:rsid w:val="5C6B3FE7"/>
    <w:rsid w:val="5CF32EA1"/>
    <w:rsid w:val="5DB57CDA"/>
    <w:rsid w:val="5E3F4A73"/>
    <w:rsid w:val="5F323B52"/>
    <w:rsid w:val="5F866231"/>
    <w:rsid w:val="5F8872F5"/>
    <w:rsid w:val="60A26498"/>
    <w:rsid w:val="61165A2E"/>
    <w:rsid w:val="622463B8"/>
    <w:rsid w:val="630566E7"/>
    <w:rsid w:val="659D7BC0"/>
    <w:rsid w:val="65C71599"/>
    <w:rsid w:val="6A2D2BC4"/>
    <w:rsid w:val="6A6A2BB1"/>
    <w:rsid w:val="6A6F5C3B"/>
    <w:rsid w:val="6B2B0D4C"/>
    <w:rsid w:val="6DF640E7"/>
    <w:rsid w:val="6EA70E67"/>
    <w:rsid w:val="70A32122"/>
    <w:rsid w:val="714D2109"/>
    <w:rsid w:val="71547F68"/>
    <w:rsid w:val="71E24E95"/>
    <w:rsid w:val="71FA252C"/>
    <w:rsid w:val="73824116"/>
    <w:rsid w:val="742C22BE"/>
    <w:rsid w:val="75384478"/>
    <w:rsid w:val="75803C9D"/>
    <w:rsid w:val="76A07FA5"/>
    <w:rsid w:val="778C63E5"/>
    <w:rsid w:val="7AD81363"/>
    <w:rsid w:val="7C48131D"/>
    <w:rsid w:val="7C6A4FE8"/>
    <w:rsid w:val="7E97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9"/>
    <w:qFormat/>
    <w:uiPriority w:val="9"/>
    <w:pPr>
      <w:spacing w:before="156" w:beforeLines="50"/>
      <w:ind w:firstLine="560"/>
      <w:outlineLvl w:val="0"/>
    </w:pPr>
    <w:rPr>
      <w:rFonts w:ascii="黑体" w:hAnsi="黑体" w:eastAsia="黑体"/>
      <w:sz w:val="28"/>
    </w:rPr>
  </w:style>
  <w:style w:type="paragraph" w:styleId="3">
    <w:name w:val="heading 2"/>
    <w:basedOn w:val="2"/>
    <w:next w:val="1"/>
    <w:link w:val="20"/>
    <w:unhideWhenUsed/>
    <w:qFormat/>
    <w:uiPriority w:val="9"/>
    <w:pPr>
      <w:spacing w:before="0" w:beforeLines="0"/>
      <w:ind w:firstLine="480"/>
      <w:outlineLvl w:val="1"/>
    </w:pPr>
    <w:rPr>
      <w:sz w:val="24"/>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1"/>
    <w:semiHidden/>
    <w:unhideWhenUsed/>
    <w:qFormat/>
    <w:uiPriority w:val="99"/>
    <w:pPr>
      <w:ind w:firstLine="440"/>
    </w:pPr>
    <w:rPr>
      <w:rFonts w:ascii="Calibri" w:hAnsi="Calibri" w:cs="Times New Roman"/>
      <w:sz w:val="18"/>
      <w:szCs w:val="18"/>
    </w:rPr>
  </w:style>
  <w:style w:type="paragraph" w:styleId="7">
    <w:name w:val="footer"/>
    <w:basedOn w:val="1"/>
    <w:link w:val="34"/>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8">
    <w:name w:val="header"/>
    <w:basedOn w:val="1"/>
    <w:link w:val="33"/>
    <w:unhideWhenUsed/>
    <w:qFormat/>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9">
    <w:name w:val="Subtitle"/>
    <w:basedOn w:val="1"/>
    <w:next w:val="1"/>
    <w:link w:val="23"/>
    <w:qFormat/>
    <w:uiPriority w:val="11"/>
    <w:pPr>
      <w:spacing w:after="100" w:afterLines="100"/>
      <w:ind w:firstLine="0" w:firstLineChars="0"/>
      <w:jc w:val="center"/>
    </w:pPr>
    <w:rPr>
      <w:rFonts w:ascii="仿宋" w:hAnsi="仿宋" w:eastAsia="仿宋"/>
      <w:shd w:val="clear" w:color="auto" w:fill="FFFFFF"/>
    </w:rPr>
  </w:style>
  <w:style w:type="paragraph" w:styleId="10">
    <w:name w:val="Title"/>
    <w:basedOn w:val="11"/>
    <w:next w:val="1"/>
    <w:link w:val="18"/>
    <w:qFormat/>
    <w:uiPriority w:val="10"/>
    <w:pPr>
      <w:spacing w:line="240" w:lineRule="auto"/>
      <w:jc w:val="center"/>
    </w:pPr>
    <w:rPr>
      <w:rFonts w:eastAsia="黑体"/>
      <w:sz w:val="40"/>
      <w:szCs w:val="40"/>
    </w:rPr>
  </w:style>
  <w:style w:type="paragraph" w:customStyle="1" w:styleId="11">
    <w:name w:val="课程"/>
    <w:basedOn w:val="12"/>
    <w:link w:val="36"/>
    <w:qFormat/>
    <w:uiPriority w:val="0"/>
    <w:pPr>
      <w:jc w:val="left"/>
    </w:pPr>
    <w:rPr>
      <w:b w:val="0"/>
    </w:rPr>
  </w:style>
  <w:style w:type="paragraph" w:customStyle="1" w:styleId="12">
    <w:name w:val="表格内容强调"/>
    <w:basedOn w:val="13"/>
    <w:link w:val="37"/>
    <w:qFormat/>
    <w:uiPriority w:val="0"/>
    <w:rPr>
      <w:b/>
    </w:rPr>
  </w:style>
  <w:style w:type="paragraph" w:customStyle="1" w:styleId="13">
    <w:name w:val="表格内容"/>
    <w:basedOn w:val="1"/>
    <w:link w:val="38"/>
    <w:qFormat/>
    <w:uiPriority w:val="0"/>
    <w:pPr>
      <w:spacing w:line="252" w:lineRule="auto"/>
      <w:ind w:firstLine="0" w:firstLineChars="0"/>
      <w:jc w:val="center"/>
    </w:pPr>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34"/>
    <w:pPr>
      <w:ind w:firstLine="420"/>
    </w:pPr>
  </w:style>
  <w:style w:type="character" w:customStyle="1" w:styleId="18">
    <w:name w:val="标题 字符"/>
    <w:basedOn w:val="16"/>
    <w:link w:val="10"/>
    <w:uiPriority w:val="10"/>
    <w:rPr>
      <w:rFonts w:ascii="Times New Roman" w:hAnsi="Times New Roman" w:eastAsia="黑体"/>
      <w:sz w:val="40"/>
      <w:szCs w:val="40"/>
    </w:rPr>
  </w:style>
  <w:style w:type="character" w:customStyle="1" w:styleId="19">
    <w:name w:val="标题 1 字符"/>
    <w:basedOn w:val="16"/>
    <w:link w:val="2"/>
    <w:qFormat/>
    <w:uiPriority w:val="9"/>
    <w:rPr>
      <w:rFonts w:ascii="黑体" w:hAnsi="黑体" w:eastAsia="黑体"/>
      <w:sz w:val="28"/>
    </w:rPr>
  </w:style>
  <w:style w:type="character" w:customStyle="1" w:styleId="20">
    <w:name w:val="标题 2 字符"/>
    <w:basedOn w:val="16"/>
    <w:link w:val="3"/>
    <w:qFormat/>
    <w:uiPriority w:val="9"/>
    <w:rPr>
      <w:rFonts w:ascii="黑体" w:hAnsi="黑体" w:eastAsia="黑体"/>
      <w:sz w:val="24"/>
    </w:rPr>
  </w:style>
  <w:style w:type="character" w:customStyle="1" w:styleId="21">
    <w:name w:val="标题 3 字符"/>
    <w:basedOn w:val="16"/>
    <w:link w:val="4"/>
    <w:semiHidden/>
    <w:qFormat/>
    <w:uiPriority w:val="9"/>
    <w:rPr>
      <w:rFonts w:ascii="Times New Roman" w:hAnsi="Times New Roman" w:eastAsia="宋体"/>
      <w:b/>
      <w:bCs/>
      <w:sz w:val="32"/>
      <w:szCs w:val="32"/>
    </w:rPr>
  </w:style>
  <w:style w:type="character" w:customStyle="1" w:styleId="22">
    <w:name w:val="标题 4 字符"/>
    <w:basedOn w:val="16"/>
    <w:link w:val="5"/>
    <w:semiHidden/>
    <w:qFormat/>
    <w:uiPriority w:val="9"/>
    <w:rPr>
      <w:rFonts w:asciiTheme="majorHAnsi" w:hAnsiTheme="majorHAnsi" w:eastAsiaTheme="majorEastAsia" w:cstheme="majorBidi"/>
      <w:b/>
      <w:bCs/>
      <w:sz w:val="28"/>
      <w:szCs w:val="28"/>
    </w:rPr>
  </w:style>
  <w:style w:type="character" w:customStyle="1" w:styleId="23">
    <w:name w:val="副标题 字符"/>
    <w:basedOn w:val="16"/>
    <w:link w:val="9"/>
    <w:qFormat/>
    <w:uiPriority w:val="11"/>
    <w:rPr>
      <w:rFonts w:ascii="仿宋" w:hAnsi="仿宋" w:eastAsia="仿宋"/>
      <w:sz w:val="24"/>
    </w:rPr>
  </w:style>
  <w:style w:type="paragraph" w:customStyle="1" w:styleId="24">
    <w:name w:val="表格（课程）"/>
    <w:basedOn w:val="1"/>
    <w:link w:val="26"/>
    <w:uiPriority w:val="0"/>
    <w:pPr>
      <w:widowControl/>
      <w:jc w:val="left"/>
    </w:pPr>
    <w:rPr>
      <w:rFonts w:ascii="宋体" w:hAnsi="宋体" w:cs="Times New Roman"/>
      <w:kern w:val="0"/>
      <w:sz w:val="18"/>
      <w:szCs w:val="18"/>
    </w:rPr>
  </w:style>
  <w:style w:type="paragraph" w:customStyle="1" w:styleId="25">
    <w:name w:val="表格（居中）"/>
    <w:basedOn w:val="24"/>
    <w:link w:val="28"/>
    <w:uiPriority w:val="0"/>
    <w:pPr>
      <w:jc w:val="center"/>
    </w:pPr>
  </w:style>
  <w:style w:type="character" w:customStyle="1" w:styleId="26">
    <w:name w:val="表格（课程） Char"/>
    <w:basedOn w:val="16"/>
    <w:link w:val="24"/>
    <w:qFormat/>
    <w:uiPriority w:val="0"/>
    <w:rPr>
      <w:rFonts w:ascii="宋体" w:hAnsi="宋体" w:eastAsia="宋体" w:cs="Times New Roman"/>
      <w:kern w:val="0"/>
      <w:sz w:val="18"/>
      <w:szCs w:val="18"/>
    </w:rPr>
  </w:style>
  <w:style w:type="paragraph" w:customStyle="1" w:styleId="27">
    <w:name w:val="表格（数字）"/>
    <w:basedOn w:val="1"/>
    <w:link w:val="30"/>
    <w:qFormat/>
    <w:uiPriority w:val="0"/>
    <w:pPr>
      <w:widowControl/>
      <w:jc w:val="center"/>
    </w:pPr>
    <w:rPr>
      <w:rFonts w:cs="Times New Roman"/>
      <w:kern w:val="0"/>
      <w:sz w:val="18"/>
      <w:szCs w:val="18"/>
    </w:rPr>
  </w:style>
  <w:style w:type="character" w:customStyle="1" w:styleId="28">
    <w:name w:val="表格（居中） Char"/>
    <w:basedOn w:val="26"/>
    <w:link w:val="25"/>
    <w:qFormat/>
    <w:uiPriority w:val="0"/>
    <w:rPr>
      <w:rFonts w:ascii="宋体" w:hAnsi="宋体" w:eastAsia="宋体" w:cs="Times New Roman"/>
      <w:kern w:val="0"/>
      <w:sz w:val="18"/>
      <w:szCs w:val="18"/>
    </w:rPr>
  </w:style>
  <w:style w:type="character" w:styleId="29">
    <w:name w:val="Placeholder Text"/>
    <w:basedOn w:val="16"/>
    <w:semiHidden/>
    <w:qFormat/>
    <w:uiPriority w:val="99"/>
    <w:rPr>
      <w:color w:val="808080"/>
    </w:rPr>
  </w:style>
  <w:style w:type="character" w:customStyle="1" w:styleId="30">
    <w:name w:val="表格（数字） Char"/>
    <w:basedOn w:val="16"/>
    <w:link w:val="27"/>
    <w:uiPriority w:val="0"/>
    <w:rPr>
      <w:rFonts w:ascii="Times New Roman" w:hAnsi="Times New Roman" w:eastAsia="宋体" w:cs="Times New Roman"/>
      <w:kern w:val="0"/>
      <w:sz w:val="18"/>
      <w:szCs w:val="18"/>
    </w:rPr>
  </w:style>
  <w:style w:type="character" w:customStyle="1" w:styleId="31">
    <w:name w:val="批注框文本 字符"/>
    <w:basedOn w:val="16"/>
    <w:link w:val="6"/>
    <w:semiHidden/>
    <w:uiPriority w:val="99"/>
    <w:rPr>
      <w:rFonts w:ascii="Calibri" w:hAnsi="Calibri" w:eastAsia="宋体" w:cs="Times New Roman"/>
      <w:sz w:val="18"/>
      <w:szCs w:val="18"/>
    </w:rPr>
  </w:style>
  <w:style w:type="paragraph" w:styleId="32">
    <w:name w:val="No Spacing"/>
    <w:qFormat/>
    <w:uiPriority w:val="1"/>
    <w:pPr>
      <w:widowControl w:val="0"/>
      <w:jc w:val="center"/>
    </w:pPr>
    <w:rPr>
      <w:rFonts w:ascii="Times New Roman" w:hAnsi="Times New Roman" w:eastAsia="宋体" w:cstheme="minorBidi"/>
      <w:kern w:val="2"/>
      <w:sz w:val="24"/>
      <w:szCs w:val="22"/>
      <w:lang w:val="en-US" w:eastAsia="zh-CN" w:bidi="ar-SA"/>
    </w:rPr>
  </w:style>
  <w:style w:type="character" w:customStyle="1" w:styleId="33">
    <w:name w:val="页眉 字符"/>
    <w:basedOn w:val="16"/>
    <w:link w:val="8"/>
    <w:qFormat/>
    <w:uiPriority w:val="99"/>
    <w:rPr>
      <w:rFonts w:ascii="Calibri" w:hAnsi="Calibri" w:eastAsia="宋体" w:cs="Times New Roman"/>
      <w:sz w:val="18"/>
      <w:szCs w:val="18"/>
    </w:rPr>
  </w:style>
  <w:style w:type="character" w:customStyle="1" w:styleId="34">
    <w:name w:val="页脚 字符"/>
    <w:basedOn w:val="16"/>
    <w:link w:val="7"/>
    <w:qFormat/>
    <w:uiPriority w:val="99"/>
    <w:rPr>
      <w:rFonts w:ascii="Calibri" w:hAnsi="Calibri" w:eastAsia="宋体" w:cs="Times New Roman"/>
      <w:sz w:val="18"/>
      <w:szCs w:val="18"/>
    </w:rPr>
  </w:style>
  <w:style w:type="paragraph" w:customStyle="1" w:styleId="35">
    <w:name w:val="列出段落1"/>
    <w:basedOn w:val="1"/>
    <w:qFormat/>
    <w:uiPriority w:val="34"/>
    <w:pPr>
      <w:ind w:firstLine="420"/>
    </w:pPr>
  </w:style>
  <w:style w:type="character" w:customStyle="1" w:styleId="36">
    <w:name w:val="课程 Char"/>
    <w:basedOn w:val="37"/>
    <w:link w:val="11"/>
    <w:qFormat/>
    <w:uiPriority w:val="0"/>
    <w:rPr>
      <w:rFonts w:ascii="Times New Roman" w:hAnsi="Times New Roman" w:eastAsia="宋体"/>
      <w:b w:val="0"/>
      <w:szCs w:val="21"/>
    </w:rPr>
  </w:style>
  <w:style w:type="character" w:customStyle="1" w:styleId="37">
    <w:name w:val="表格内容强调 Char"/>
    <w:basedOn w:val="38"/>
    <w:link w:val="12"/>
    <w:uiPriority w:val="0"/>
    <w:rPr>
      <w:rFonts w:ascii="Times New Roman" w:hAnsi="Times New Roman" w:eastAsia="宋体"/>
      <w:b/>
      <w:szCs w:val="21"/>
    </w:rPr>
  </w:style>
  <w:style w:type="character" w:customStyle="1" w:styleId="38">
    <w:name w:val="表格内容 Char"/>
    <w:basedOn w:val="16"/>
    <w:link w:val="13"/>
    <w:uiPriority w:val="0"/>
    <w:rPr>
      <w:rFonts w:ascii="Times New Roman" w:hAnsi="Times New Roman" w:eastAsia="宋体"/>
      <w:szCs w:val="21"/>
    </w:rPr>
  </w:style>
  <w:style w:type="paragraph" w:customStyle="1" w:styleId="39">
    <w:name w:val="表格内容（粗）"/>
    <w:basedOn w:val="13"/>
    <w:link w:val="40"/>
    <w:qFormat/>
    <w:uiPriority w:val="0"/>
    <w:rPr>
      <w:b/>
    </w:rPr>
  </w:style>
  <w:style w:type="character" w:customStyle="1" w:styleId="40">
    <w:name w:val="表格内容（粗） Char"/>
    <w:basedOn w:val="38"/>
    <w:link w:val="39"/>
    <w:qFormat/>
    <w:uiPriority w:val="0"/>
    <w:rPr>
      <w:rFonts w:ascii="Times New Roman" w:hAnsi="Times New Roman" w:eastAsia="宋体"/>
      <w:b/>
      <w:szCs w:val="21"/>
    </w:rPr>
  </w:style>
  <w:style w:type="paragraph" w:customStyle="1" w:styleId="41">
    <w:name w:val="表格标题"/>
    <w:basedOn w:val="1"/>
    <w:link w:val="42"/>
    <w:qFormat/>
    <w:uiPriority w:val="0"/>
    <w:pPr>
      <w:ind w:firstLine="0" w:firstLineChars="0"/>
      <w:jc w:val="center"/>
    </w:pPr>
    <w:rPr>
      <w:rFonts w:ascii="仿宋" w:eastAsia="仿宋"/>
      <w:b/>
      <w:sz w:val="21"/>
      <w:szCs w:val="21"/>
    </w:rPr>
  </w:style>
  <w:style w:type="character" w:customStyle="1" w:styleId="42">
    <w:name w:val="表格标题 Char"/>
    <w:basedOn w:val="16"/>
    <w:link w:val="41"/>
    <w:uiPriority w:val="0"/>
    <w:rPr>
      <w:rFonts w:ascii="仿宋" w:hAnsi="Times New Roman" w:eastAsia="仿宋"/>
      <w:b/>
      <w:szCs w:val="21"/>
    </w:rPr>
  </w:style>
  <w:style w:type="paragraph" w:customStyle="1" w:styleId="43">
    <w:name w:val="数字"/>
    <w:basedOn w:val="13"/>
    <w:link w:val="44"/>
    <w:uiPriority w:val="0"/>
    <w:rPr>
      <w:rFonts w:eastAsia="Times New Roman"/>
    </w:rPr>
  </w:style>
  <w:style w:type="character" w:customStyle="1" w:styleId="44">
    <w:name w:val="数字 Char"/>
    <w:basedOn w:val="38"/>
    <w:link w:val="43"/>
    <w:uiPriority w:val="0"/>
    <w:rPr>
      <w:rFonts w:ascii="Times New Roman" w:hAnsi="Times New Roman" w:eastAsia="Times New Roman" w:cs="Times New Roman"/>
      <w:szCs w:val="21"/>
    </w:rPr>
  </w:style>
  <w:style w:type="paragraph" w:customStyle="1" w:styleId="45">
    <w:name w:val="编号"/>
    <w:basedOn w:val="17"/>
    <w:link w:val="46"/>
    <w:uiPriority w:val="0"/>
    <w:pPr>
      <w:ind w:firstLine="200"/>
    </w:pPr>
  </w:style>
  <w:style w:type="character" w:customStyle="1" w:styleId="46">
    <w:name w:val="编号 Char"/>
    <w:basedOn w:val="16"/>
    <w:link w:val="45"/>
    <w:uiPriority w:val="0"/>
    <w:rPr>
      <w:rFonts w:ascii="Times New Roman" w:hAnsi="Times New Roman" w:eastAsia="宋体"/>
      <w:sz w:val="24"/>
    </w:rPr>
  </w:style>
  <w:style w:type="paragraph" w:customStyle="1" w:styleId="47">
    <w:name w:val="备注"/>
    <w:basedOn w:val="1"/>
    <w:link w:val="48"/>
    <w:qFormat/>
    <w:uiPriority w:val="0"/>
    <w:pPr>
      <w:ind w:firstLine="0" w:firstLineChars="0"/>
    </w:pPr>
    <w:rPr>
      <w:sz w:val="21"/>
      <w:szCs w:val="21"/>
    </w:rPr>
  </w:style>
  <w:style w:type="character" w:customStyle="1" w:styleId="48">
    <w:name w:val="备注 Char"/>
    <w:basedOn w:val="16"/>
    <w:link w:val="47"/>
    <w:uiPriority w:val="0"/>
    <w:rPr>
      <w:rFonts w:ascii="Times New Roman" w:hAnsi="Times New Roman" w:eastAsia="宋体"/>
      <w:szCs w:val="21"/>
    </w:rPr>
  </w:style>
  <w:style w:type="table" w:customStyle="1" w:styleId="49">
    <w:name w:val="网格型1"/>
    <w:basedOn w:val="1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BD07A-0E50-4C6B-A81C-DB07DFA3907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5391</Words>
  <Characters>6482</Characters>
  <Lines>56</Lines>
  <Paragraphs>15</Paragraphs>
  <TotalTime>29</TotalTime>
  <ScaleCrop>false</ScaleCrop>
  <LinksUpToDate>false</LinksUpToDate>
  <CharactersWithSpaces>6482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2020-12-04T18:26:00Z</dcterms:created>
  <dc:creator>Administrator</dc:creator>
  <cp:lastModifiedBy>龙旟西幸水滔滔</cp:lastModifiedBy>
  <cp:lastPrinted>2022-12-29T07:22:11Z</cp:lastPrinted>
  <dcterms:modified xsi:type="dcterms:W3CDTF">2022-12-29T07:22:13Z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0482F2DF3669422399060419CF117909</vt:lpwstr>
  </property>
</Properties>
</file>