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关于开展2022年“Hi社区”乐有家社区行创意策划大赛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大赛围绕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“Hi社区”乐有家社区活动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进行创意策划，分为校园联赛、省赛两个阶段，方案策划、现场答辩、活动实践三个环节。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届大赛将于2022年3月正式启动，至4月结束，现将有关事宜通知如下：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一、大赛主旨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大赛致力于以赛促学、聚力领航共同成长，为学生提供自我展示、自我发展的平台，激发学生创造力、培养学生问题意识、提升学生领导力。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二、参赛资格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广东省高等院校全日制在校大学生，含研究生、本科生、高职高专学生等，不限专业；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同一个团队仅能提交1个作品，同一作品不可重复参与其它类似创意策划大赛；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每个团队人数应3-5人，专业不限。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三、大赛命题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围绕乐有家价值主张、品牌定位及乐有家“阳光透明”佣金优惠体系及大学生租房免佣福利完成社区活动策划方案。扎根社区，提供力所能及的搭把手服务，让社区居民生活因为有我们更便利；精耕社区，运营社区行活动，持续积累房源、客源，提供差异化服务，树立“社区好帮手”品牌形象。活动方案需要具备一定的创新性、可执行，策划书模板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0" w:firstLineChars="200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乐有家“阳光透明”佣金优惠体系：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乐有家“阳光透明”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佣金优惠体系是乐有家针对客户推出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的一套佣金优惠体系，客户完成指定任务，对应领取平台发放的乐乐券，即可在成交时抵用佣 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大学生租房免佣：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大学生租房免佣金是乐有家针对在校及毕业两年内的大学生（国内外统招大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专、本科、硕士、博士）推出的一项公益福利，旨在帮助刚毕业的学生更好的度过迈向社会的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起步期。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乐有家价值主张：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及时精准、专业可信、高效超值的房产交易全价值链服务！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乐有家品牌定位：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阳光透明，真诚永远。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三、大赛流程</w:t>
      </w: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13"/>
        <w:gridCol w:w="2523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赛程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阶段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预计时间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校园联赛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组队报名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即日-3月22日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每组3-5人，自由组队报名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启动会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2022年3月21日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赛事说明及答疑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预选赛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2022年3月下旬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提交团队社区活动策划书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初赛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2022年4月上旬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现场答辩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半决赛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2022年4月中下旬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社区活动实践，完善社区活动策划书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省赛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决赛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2022年4月下旬</w:t>
            </w:r>
          </w:p>
        </w:tc>
        <w:tc>
          <w:tcPr>
            <w:tcW w:w="4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现场答辩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righ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8"/>
          <w:lang w:val="en-US" w:eastAsia="zh-CN"/>
        </w:rPr>
        <w:t>注：具体时间以通知为准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四、奖项设置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一等奖1组：10000元/组 大赛荣誉证书+全员offer名额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二等奖2组：3000元/组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 xml:space="preserve"> 大赛荣誉证书+3个offer名额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三等奖3组：1500元/组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 xml:space="preserve"> 大赛荣誉证书+2个offer名额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优秀奖4组：1000元/组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 xml:space="preserve"> 大赛荣誉证书+1个offer名额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 xml:space="preserve">人气奖1组：500元/组 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 xml:space="preserve"> 大赛荣誉证书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五、报名方式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  <w:lang w:val="en-US" w:eastAsia="zh-CN"/>
        </w:rPr>
        <w:t>渠道一：</w:t>
      </w: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微信搜索“乐有家招聘”公众号——发送"校园大赛"——点击跳转链接填写报名信息；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渠道二：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扫描下方二维码，填写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报名信息</w:t>
      </w:r>
      <w:r>
        <w:rPr>
          <w:rFonts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drawing>
          <wp:inline distT="0" distB="0" distL="114300" distR="114300">
            <wp:extent cx="723900" cy="723900"/>
            <wp:effectExtent l="0" t="0" r="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六、作品提交要求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基于市场调研分析，结合品牌定位和价值主张制定社区活动方案；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文件页面尺寸为A4，正文不超过30页，附件不超过10页，PDF格式提交。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8"/>
          <w:lang w:val="en-US" w:eastAsia="zh-CN"/>
        </w:rPr>
        <w:t>七、更多资讯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XXX院校乐有家创意策划大赛交流群二维码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65F66"/>
    <w:multiLevelType w:val="singleLevel"/>
    <w:tmpl w:val="91065F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2CF5E02"/>
    <w:multiLevelType w:val="singleLevel"/>
    <w:tmpl w:val="42CF5E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32BE"/>
    <w:rsid w:val="03AD26FC"/>
    <w:rsid w:val="05953C40"/>
    <w:rsid w:val="0A4A7809"/>
    <w:rsid w:val="0B552F6C"/>
    <w:rsid w:val="156C52E1"/>
    <w:rsid w:val="1848726E"/>
    <w:rsid w:val="19757764"/>
    <w:rsid w:val="2BAC62BA"/>
    <w:rsid w:val="2BBF5973"/>
    <w:rsid w:val="2ECA2A86"/>
    <w:rsid w:val="30405223"/>
    <w:rsid w:val="34287D97"/>
    <w:rsid w:val="366C71A7"/>
    <w:rsid w:val="36FC4B3C"/>
    <w:rsid w:val="3D046CEB"/>
    <w:rsid w:val="3DB21B03"/>
    <w:rsid w:val="46CB1893"/>
    <w:rsid w:val="47773843"/>
    <w:rsid w:val="4C3152FF"/>
    <w:rsid w:val="51894824"/>
    <w:rsid w:val="53C47D96"/>
    <w:rsid w:val="54352A41"/>
    <w:rsid w:val="54EB3100"/>
    <w:rsid w:val="5BBC6277"/>
    <w:rsid w:val="5D804D2D"/>
    <w:rsid w:val="60447E5E"/>
    <w:rsid w:val="60A55EC9"/>
    <w:rsid w:val="66D17929"/>
    <w:rsid w:val="66DD1F88"/>
    <w:rsid w:val="6B8A321B"/>
    <w:rsid w:val="6EED771A"/>
    <w:rsid w:val="6F4F630E"/>
    <w:rsid w:val="76DC758E"/>
    <w:rsid w:val="792E7745"/>
    <w:rsid w:val="7EA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left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3"/>
    <w:next w:val="1"/>
    <w:semiHidden/>
    <w:unhideWhenUsed/>
    <w:qFormat/>
    <w:uiPriority w:val="0"/>
    <w:pPr>
      <w:keepNext/>
      <w:keepLines/>
      <w:spacing w:before="160" w:beforeLines="0" w:beforeAutospacing="0" w:after="160" w:afterLines="0" w:afterAutospacing="0" w:line="413" w:lineRule="auto"/>
      <w:outlineLvl w:val="2"/>
    </w:pPr>
    <w:rPr>
      <w:rFonts w:asciiTheme="minorAscii" w:hAnsiTheme="minorAscii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2020-09-17T06:54:00Z</dcterms:created>
  <dc:creator>Administrator</dc:creator>
  <cp:lastModifiedBy>陈慧玲</cp:lastModifiedBy>
  <dcterms:modified xsi:type="dcterms:W3CDTF">2022-03-10T04:00:00Z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85348E156FDE44E7BEAFEB55C3D34A50</vt:lpwstr>
  </property>
</Properties>
</file>