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A2DE2">
      <w:pPr>
        <w:spacing w:line="360" w:lineRule="auto"/>
        <w:jc w:val="center"/>
        <w:rPr>
          <w:rFonts w:ascii="Times New Roman" w:hAnsi="Times New Roman" w:eastAsia="仿宋_GB2312" w:cs="Times New Roman"/>
          <w:b/>
          <w:bCs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bCs/>
          <w:color w:val="333333"/>
          <w:sz w:val="36"/>
          <w:szCs w:val="36"/>
          <w:shd w:val="clear" w:color="auto" w:fill="FFFFFF"/>
        </w:rPr>
        <w:t>202</w:t>
      </w:r>
      <w:r>
        <w:rPr>
          <w:rFonts w:hint="eastAsia" w:ascii="Times New Roman" w:hAnsi="Times New Roman" w:eastAsia="仿宋_GB2312" w:cs="Times New Roman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_GB2312" w:cs="Times New Roman"/>
          <w:b/>
          <w:bCs/>
          <w:color w:val="333333"/>
          <w:sz w:val="36"/>
          <w:szCs w:val="36"/>
          <w:shd w:val="clear" w:color="auto" w:fill="FFFFFF"/>
        </w:rPr>
        <w:t>年</w:t>
      </w:r>
      <w:r>
        <w:rPr>
          <w:rFonts w:hint="eastAsia" w:ascii="Times New Roman" w:hAnsi="Times New Roman" w:eastAsia="仿宋_GB2312" w:cs="Times New Roman"/>
          <w:b/>
          <w:bCs/>
          <w:color w:val="333333"/>
          <w:sz w:val="36"/>
          <w:szCs w:val="36"/>
          <w:shd w:val="clear" w:color="auto" w:fill="FFFFFF"/>
        </w:rPr>
        <w:t>广州华立学院《</w:t>
      </w:r>
      <w:r>
        <w:rPr>
          <w:rFonts w:hint="eastAsia" w:ascii="Times New Roman" w:hAnsi="Times New Roman" w:eastAsia="仿宋_GB2312" w:cs="Times New Roman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新媒体内容营销</w:t>
      </w:r>
      <w:r>
        <w:rPr>
          <w:rFonts w:hint="eastAsia" w:ascii="Times New Roman" w:hAnsi="Times New Roman" w:eastAsia="仿宋_GB2312" w:cs="Times New Roman"/>
          <w:b/>
          <w:bCs/>
          <w:color w:val="333333"/>
          <w:sz w:val="36"/>
          <w:szCs w:val="36"/>
          <w:shd w:val="clear" w:color="auto" w:fill="FFFFFF"/>
        </w:rPr>
        <w:t>》</w:t>
      </w:r>
    </w:p>
    <w:p w14:paraId="2C8EDA8B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bCs/>
          <w:color w:val="333333"/>
          <w:sz w:val="36"/>
          <w:szCs w:val="36"/>
          <w:shd w:val="clear" w:color="auto" w:fill="FFFFFF"/>
        </w:rPr>
        <w:t>微专业招生简章</w:t>
      </w:r>
    </w:p>
    <w:p w14:paraId="31C96368">
      <w:pPr>
        <w:numPr>
          <w:ilvl w:val="0"/>
          <w:numId w:val="1"/>
        </w:numPr>
        <w:spacing w:after="0" w:line="360" w:lineRule="auto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  <w:t>新媒体内容营销微专业简介</w:t>
      </w:r>
    </w:p>
    <w:p w14:paraId="15F75B4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（一）依托学院、专业与平台优势</w:t>
      </w:r>
    </w:p>
    <w:p w14:paraId="4D76A6F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本微专业由管理学院市场营销专业核心师资团队倾力打造，依托学校深耕粤港澳大湾区应用型人才培养的办学积淀，立足湾区数字营销产业升级、新媒体行业高速发展的人才刚需，依托市场营销专业</w:t>
      </w:r>
      <w:r>
        <w:rPr>
          <w:rFonts w:hint="eastAsia"/>
          <w:sz w:val="28"/>
          <w:szCs w:val="28"/>
          <w:lang w:val="en-US" w:eastAsia="zh-CN"/>
        </w:rPr>
        <w:t>发展多年</w:t>
      </w:r>
      <w:r>
        <w:rPr>
          <w:rFonts w:hint="eastAsia"/>
          <w:sz w:val="28"/>
          <w:szCs w:val="28"/>
        </w:rPr>
        <w:t>的雄厚办学底蕴开展教学。市场营销专业作为学校重点建设专业，聚焦智能营销</w:t>
      </w:r>
      <w:r>
        <w:rPr>
          <w:rFonts w:hint="eastAsia"/>
          <w:sz w:val="28"/>
          <w:szCs w:val="28"/>
          <w:lang w:val="en-US" w:eastAsia="zh-CN"/>
        </w:rPr>
        <w:t>与</w:t>
      </w:r>
      <w:r>
        <w:rPr>
          <w:rFonts w:hint="eastAsia"/>
          <w:sz w:val="28"/>
          <w:szCs w:val="28"/>
        </w:rPr>
        <w:t>运营、</w:t>
      </w:r>
      <w:r>
        <w:rPr>
          <w:rFonts w:hint="eastAsia"/>
          <w:sz w:val="28"/>
          <w:szCs w:val="28"/>
          <w:lang w:val="en-US" w:eastAsia="zh-CN"/>
        </w:rPr>
        <w:t>跨境电子商务</w:t>
      </w:r>
      <w:r>
        <w:rPr>
          <w:rFonts w:hint="eastAsia"/>
          <w:sz w:val="28"/>
          <w:szCs w:val="28"/>
        </w:rPr>
        <w:t>方向，深耕多年形成了“理论夯实、实操落地、产教融合”的育人特色，具备完善的人才培养体系、优质的师资团队和成熟的实践教学模式。同时，专业深度联动广州红客传媒有限公司，搭建集课程教学、项目实训、实战演练</w:t>
      </w:r>
      <w:r>
        <w:rPr>
          <w:rFonts w:hint="eastAsia"/>
          <w:sz w:val="28"/>
          <w:szCs w:val="28"/>
          <w:lang w:val="en-US" w:eastAsia="zh-CN"/>
        </w:rPr>
        <w:t>等</w:t>
      </w:r>
      <w:r>
        <w:rPr>
          <w:rFonts w:hint="eastAsia"/>
          <w:sz w:val="28"/>
          <w:szCs w:val="28"/>
        </w:rPr>
        <w:t>对接于一体的综合性育人平台。依托学院跨学科融合教学优势，融合管理学、营销学、数字技术多领域知识，打破传统营销教学壁垒，为微专业教学提供扎实的学科支撑、硬件保障与行业资源支持，精准适配新媒体内容营销岗位人才培养需求。</w:t>
      </w:r>
    </w:p>
    <w:p w14:paraId="5BF00D3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（二）微专业特色</w:t>
      </w:r>
    </w:p>
    <w:p w14:paraId="23382617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新媒体内容营销微专业紧扣当下短视频、直播电商、内容种草、品牌新媒体运营等行业风口，区别于传统市场营销宽泛式教学，聚焦内容生产、流量运营、营销转化、品牌赋能四大核心能力，打造精细化、实战化、轻量化的特色课程体系。本微专业遵循学校微专业“聚焦专项、精炼高效、学以致用”的建设理念，课程内容摒弃冗余理论，高度贴合企业真实岗位需求，覆盖新媒体文案创作、短视频内容策划、账号运营、直播内容营销、私域内容转化、新媒体数据分析、品牌内容种草等核心实操技能。教学模式采用“理论精讲+案例拆解+项目实战+校企实训”四维模式，引入行业真实营销案例、企业实战项目，由校企双师联合授课，让学生快速掌握新媒体内容营销核心技法。同时依托跨学科育人优势，实现市场营销专业商科思维与新媒体传播技术的深度融合，培养兼具商业营销逻辑、内容创作能力、数字化运营思维的复合型人才，学习周期灵活、技能针对性强，能够快速弥补学生新媒体专项技能短板，提升学生新媒体岗位就业核心竞争力，适配全行业品牌新媒体运营、内容营销、短视频策划等岗位需求。</w:t>
      </w:r>
    </w:p>
    <w:p w14:paraId="3C1A06CA">
      <w:pPr>
        <w:numPr>
          <w:ilvl w:val="0"/>
          <w:numId w:val="1"/>
        </w:numPr>
        <w:spacing w:after="0" w:line="360" w:lineRule="auto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  <w:t>培养目标</w:t>
      </w:r>
    </w:p>
    <w:p w14:paraId="4AABF7B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微专业全面贯彻立德树人根本任务，立足粤港澳大湾区数字经济与新媒体产业发展需求，面向全行业品牌企业、新媒体机构、电商平台、文化传媒公司等用人单位，培养德智体美劳全面发展，具备良好职业素养与创新思维的高素质应用型新媒体内容营销人才。</w:t>
      </w:r>
    </w:p>
    <w:p w14:paraId="1DB17F1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通过系统学习，可扎实掌握市场营销基础理论、消费者行为逻辑、品牌传播规律，熟练掌握新媒体文案撰写、短视频与图文内容策划、新媒体账号运维、直播内容营销、流量运营、内容数据分析、私域内容转化等核心专业技能。本专业着重培养学生的商业内容创作能力、新媒体营销策划能力、数字化运营能力与市场洞察能力，能够精准结合品牌定位与用户需求，打造优质营销内容、搭建内容传播体系、完成内容引流与商业转化。</w:t>
      </w:r>
    </w:p>
    <w:p w14:paraId="4B61205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毕业生可胜任新媒体内容专员、账号运营师、短视频策划师、品牌内容营销师、直播内容运营、新媒体推广策划等岗位，适配各行各业数字化营销转型需求，具备持续学习能力与行业适配能力，能够快速适应新媒体行业迭代发展，服务区域数字商贸与品牌营销产业高质量发展。</w:t>
      </w:r>
    </w:p>
    <w:p w14:paraId="6530E435">
      <w:pPr>
        <w:numPr>
          <w:ilvl w:val="0"/>
          <w:numId w:val="1"/>
        </w:numPr>
        <w:spacing w:after="0" w:line="360" w:lineRule="auto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  <w:t>招生对象及要求</w:t>
      </w:r>
    </w:p>
    <w:p w14:paraId="1FAFC25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1.招生对象：广州华立学院各专业2024、2025 级全日制本科生全日制本科生。</w:t>
      </w:r>
    </w:p>
    <w:p w14:paraId="34BE309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2.报名条件：</w:t>
      </w:r>
      <w:r>
        <w:rPr>
          <w:sz w:val="28"/>
          <w:szCs w:val="28"/>
        </w:rPr>
        <w:t>新媒体内容营销</w:t>
      </w:r>
      <w:r>
        <w:rPr>
          <w:rFonts w:hint="eastAsia"/>
          <w:sz w:val="28"/>
          <w:szCs w:val="28"/>
        </w:rPr>
        <w:t>兴趣爱好者均可报名。</w:t>
      </w:r>
    </w:p>
    <w:p w14:paraId="7F5B975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3.计划招生人数：20-30人</w:t>
      </w:r>
    </w:p>
    <w:p w14:paraId="77C9565E">
      <w:pPr>
        <w:numPr>
          <w:ilvl w:val="0"/>
          <w:numId w:val="1"/>
        </w:numPr>
        <w:spacing w:after="0" w:line="360" w:lineRule="auto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  <w:t>师资介绍</w:t>
      </w:r>
    </w:p>
    <w:p w14:paraId="020340E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教师团队由</w:t>
      </w:r>
      <w:r>
        <w:rPr>
          <w:rFonts w:hint="eastAsia"/>
          <w:sz w:val="28"/>
          <w:szCs w:val="28"/>
          <w:lang w:val="en-US" w:eastAsia="zh-CN"/>
        </w:rPr>
        <w:t>管理学院市场营销专业17</w:t>
      </w:r>
      <w:r>
        <w:rPr>
          <w:rFonts w:hint="eastAsia"/>
          <w:sz w:val="28"/>
          <w:szCs w:val="28"/>
        </w:rPr>
        <w:t>名优秀教师组成，包括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名教授、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名副教授、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名讲师。团队全员分批次参与</w:t>
      </w:r>
      <w:r>
        <w:rPr>
          <w:rFonts w:hint="eastAsia"/>
          <w:sz w:val="28"/>
          <w:szCs w:val="28"/>
          <w:lang w:val="en-US" w:eastAsia="zh-CN"/>
        </w:rPr>
        <w:t>新媒体内容</w:t>
      </w:r>
      <w:r>
        <w:rPr>
          <w:rFonts w:hint="eastAsia"/>
          <w:sz w:val="28"/>
          <w:szCs w:val="28"/>
        </w:rPr>
        <w:t>的前沿培训与研讨，指导学生</w:t>
      </w:r>
      <w:r>
        <w:rPr>
          <w:rFonts w:hint="eastAsia"/>
          <w:sz w:val="28"/>
          <w:szCs w:val="28"/>
          <w:lang w:val="en-US" w:eastAsia="zh-CN"/>
        </w:rPr>
        <w:t>多次</w:t>
      </w:r>
      <w:r>
        <w:rPr>
          <w:rFonts w:hint="eastAsia"/>
          <w:sz w:val="28"/>
          <w:szCs w:val="28"/>
        </w:rPr>
        <w:t>荣获各类专业竞赛。</w:t>
      </w:r>
    </w:p>
    <w:p w14:paraId="51DC741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示例：</w:t>
      </w:r>
    </w:p>
    <w:p w14:paraId="3A18F5D8"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张建英</w:t>
      </w:r>
      <w:r>
        <w:rPr>
          <w:rFonts w:hint="eastAsia"/>
          <w:sz w:val="28"/>
          <w:szCs w:val="28"/>
        </w:rPr>
        <w:t>，教授，</w:t>
      </w:r>
      <w:r>
        <w:rPr>
          <w:rFonts w:hint="eastAsia"/>
          <w:sz w:val="28"/>
          <w:szCs w:val="28"/>
          <w:lang w:val="en-US" w:eastAsia="zh-CN"/>
        </w:rPr>
        <w:t>市场营销专业负责人</w:t>
      </w:r>
      <w:r>
        <w:rPr>
          <w:rFonts w:hint="eastAsia"/>
          <w:sz w:val="28"/>
          <w:szCs w:val="28"/>
        </w:rPr>
        <w:t>。</w:t>
      </w:r>
    </w:p>
    <w:p w14:paraId="0FA06EBD"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陈庆盛</w:t>
      </w:r>
      <w:r>
        <w:rPr>
          <w:rFonts w:hint="eastAsia"/>
          <w:sz w:val="28"/>
          <w:szCs w:val="28"/>
        </w:rPr>
        <w:t>，副教授，</w:t>
      </w:r>
      <w:r>
        <w:rPr>
          <w:rFonts w:hint="eastAsia"/>
          <w:sz w:val="28"/>
          <w:szCs w:val="28"/>
          <w:lang w:val="en-US" w:eastAsia="zh-CN"/>
        </w:rPr>
        <w:t>市场营销专业教研室主任</w:t>
      </w:r>
      <w:r>
        <w:rPr>
          <w:rFonts w:hint="eastAsia"/>
          <w:sz w:val="28"/>
          <w:szCs w:val="28"/>
        </w:rPr>
        <w:t>。指导学生多次获得国家级专业赛事一等奖。</w:t>
      </w:r>
    </w:p>
    <w:p w14:paraId="2DA0C486">
      <w:pPr>
        <w:numPr>
          <w:ilvl w:val="0"/>
          <w:numId w:val="1"/>
        </w:numPr>
        <w:spacing w:after="0" w:line="360" w:lineRule="auto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  <w:t>课程教学计划</w:t>
      </w:r>
    </w:p>
    <w:p w14:paraId="46FDB7F8">
      <w:pPr>
        <w:spacing w:before="120" w:after="120" w:line="288" w:lineRule="auto"/>
        <w:ind w:firstLine="440" w:firstLineChars="200"/>
        <w:rPr>
          <w:rFonts w:ascii="Calibri" w:hAnsi="Calibri" w:eastAsia="宋体" w:cs="Times New Roman"/>
          <w:kern w:val="0"/>
          <w:sz w:val="21"/>
          <w:szCs w:val="21"/>
          <w14:ligatures w14:val="none"/>
        </w:rPr>
      </w:pPr>
      <w:r>
        <w:rPr>
          <w:rFonts w:ascii="等线" w:hAnsi="等线" w:eastAsia="等线" w:cs="Arial"/>
          <w:kern w:val="0"/>
          <w:szCs w:val="22"/>
          <w14:ligatures w14:val="none"/>
        </w:rPr>
        <w:t>课程分两学期开设，贴合大二、大三学生课余时间排布，考核分为考试、考查两种，实践类课程全部采用过程性考核。其中，</w:t>
      </w:r>
      <w:r>
        <w:rPr>
          <w:rFonts w:ascii="宋体" w:hAnsi="宋体" w:eastAsia="宋体" w:cs="Times New Roman"/>
          <w:kern w:val="0"/>
          <w:sz w:val="21"/>
          <w:szCs w:val="21"/>
          <w14:ligatures w14:val="none"/>
        </w:rPr>
        <w:t>实践总学时</w:t>
      </w:r>
      <w:r>
        <w:rPr>
          <w:rFonts w:ascii="Calibri" w:hAnsi="Calibri" w:eastAsia="宋体" w:cs="Calibri"/>
          <w:kern w:val="0"/>
          <w:sz w:val="21"/>
          <w:szCs w:val="21"/>
          <w14:ligatures w14:val="none"/>
        </w:rPr>
        <w:t>140</w:t>
      </w:r>
      <w:r>
        <w:rPr>
          <w:rFonts w:ascii="宋体" w:hAnsi="宋体" w:eastAsia="宋体" w:cs="Times New Roman"/>
          <w:kern w:val="0"/>
          <w:sz w:val="21"/>
          <w:szCs w:val="21"/>
          <w14:ligatures w14:val="none"/>
        </w:rPr>
        <w:t>，占比</w:t>
      </w:r>
      <w:r>
        <w:rPr>
          <w:rFonts w:ascii="Calibri" w:hAnsi="Calibri" w:eastAsia="宋体" w:cs="Calibri"/>
          <w:kern w:val="0"/>
          <w:sz w:val="21"/>
          <w:szCs w:val="21"/>
          <w14:ligatures w14:val="none"/>
        </w:rPr>
        <w:t>62.5%</w:t>
      </w:r>
      <w:r>
        <w:rPr>
          <w:rFonts w:ascii="宋体" w:hAnsi="宋体" w:eastAsia="宋体" w:cs="Times New Roman"/>
          <w:kern w:val="0"/>
          <w:sz w:val="21"/>
          <w:szCs w:val="21"/>
          <w14:ligatures w14:val="none"/>
        </w:rPr>
        <w:t>。</w:t>
      </w:r>
    </w:p>
    <w:tbl>
      <w:tblPr>
        <w:tblStyle w:val="14"/>
        <w:tblW w:w="0" w:type="auto"/>
        <w:tblInd w:w="-12" w:type="dxa"/>
        <w:tblBorders>
          <w:top w:val="single" w:color="DEE0E3" w:sz="2" w:space="0"/>
          <w:left w:val="single" w:color="DEE0E3" w:sz="2" w:space="0"/>
          <w:bottom w:val="single" w:color="DEE0E3" w:sz="2" w:space="0"/>
          <w:right w:val="single" w:color="DEE0E3" w:sz="2" w:space="0"/>
          <w:insideH w:val="single" w:color="DEE0E3" w:sz="2" w:space="0"/>
          <w:insideV w:val="single" w:color="DEE0E3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6"/>
        <w:gridCol w:w="1679"/>
        <w:gridCol w:w="745"/>
        <w:gridCol w:w="540"/>
        <w:gridCol w:w="697"/>
        <w:gridCol w:w="757"/>
        <w:gridCol w:w="970"/>
        <w:gridCol w:w="721"/>
        <w:gridCol w:w="1324"/>
      </w:tblGrid>
      <w:tr w14:paraId="7E7554AF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atLeast"/>
        </w:trPr>
        <w:tc>
          <w:tcPr>
            <w:tcW w:w="706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877DBD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课程编码</w:t>
            </w:r>
          </w:p>
        </w:tc>
        <w:tc>
          <w:tcPr>
            <w:tcW w:w="1679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EF6A90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课程名称</w:t>
            </w:r>
          </w:p>
        </w:tc>
        <w:tc>
          <w:tcPr>
            <w:tcW w:w="745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D80B47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开课学期</w:t>
            </w:r>
          </w:p>
        </w:tc>
        <w:tc>
          <w:tcPr>
            <w:tcW w:w="54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356B1A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学分</w:t>
            </w:r>
          </w:p>
        </w:tc>
        <w:tc>
          <w:tcPr>
            <w:tcW w:w="69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A82C9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总学时</w:t>
            </w:r>
          </w:p>
        </w:tc>
        <w:tc>
          <w:tcPr>
            <w:tcW w:w="75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5837A8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讲授学时</w:t>
            </w:r>
          </w:p>
        </w:tc>
        <w:tc>
          <w:tcPr>
            <w:tcW w:w="97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5BEB51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实验</w:t>
            </w: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/</w:t>
            </w: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实践学时</w:t>
            </w:r>
          </w:p>
        </w:tc>
        <w:tc>
          <w:tcPr>
            <w:tcW w:w="721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5F609C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周学时</w:t>
            </w:r>
          </w:p>
        </w:tc>
        <w:tc>
          <w:tcPr>
            <w:tcW w:w="1324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0A26E0">
            <w:pPr>
              <w:spacing w:before="120" w:after="120" w:line="288" w:lineRule="auto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等线" w:hAnsi="等线" w:eastAsia="等线" w:cs="Arial"/>
                <w:kern w:val="0"/>
                <w:szCs w:val="22"/>
                <w:lang w:val="en-US" w:eastAsia="zh-CN"/>
                <w14:ligatures w14:val="none"/>
              </w:rPr>
              <w:t>备注</w:t>
            </w:r>
          </w:p>
        </w:tc>
      </w:tr>
      <w:tr w14:paraId="4794A7B3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6" w:hRule="atLeast"/>
        </w:trPr>
        <w:tc>
          <w:tcPr>
            <w:tcW w:w="706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3EC99D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9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C9789B">
            <w:pPr>
              <w:widowControl/>
              <w:spacing w:after="0" w:line="240" w:lineRule="atLeast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Segoe UI" w:hAnsi="Segoe UI" w:eastAsia="宋体" w:cs="Segoe UI"/>
                <w:color w:val="0F1115"/>
                <w:kern w:val="0"/>
                <w:sz w:val="21"/>
                <w:szCs w:val="21"/>
                <w14:ligatures w14:val="none"/>
              </w:rPr>
              <w:t>新媒体内容营销概论</w:t>
            </w:r>
          </w:p>
        </w:tc>
        <w:tc>
          <w:tcPr>
            <w:tcW w:w="745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24B3CB">
            <w:pPr>
              <w:widowControl/>
              <w:spacing w:after="0" w:line="240" w:lineRule="atLeast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Segoe UI" w:hAnsi="Segoe UI" w:eastAsia="宋体" w:cs="Segoe UI"/>
                <w:color w:val="0F1115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123249">
            <w:pPr>
              <w:widowControl/>
              <w:spacing w:after="0" w:line="240" w:lineRule="atLeast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Segoe UI" w:hAnsi="Segoe UI" w:eastAsia="宋体" w:cs="Segoe UI"/>
                <w:color w:val="0F1115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69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1FF58F">
            <w:pPr>
              <w:widowControl/>
              <w:spacing w:after="0" w:line="240" w:lineRule="atLeast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Segoe UI" w:hAnsi="Segoe UI" w:eastAsia="宋体" w:cs="Segoe UI"/>
                <w:color w:val="0F1115"/>
                <w:kern w:val="0"/>
                <w:sz w:val="21"/>
                <w:szCs w:val="21"/>
                <w14:ligatures w14:val="none"/>
              </w:rPr>
              <w:t>32</w:t>
            </w:r>
          </w:p>
        </w:tc>
        <w:tc>
          <w:tcPr>
            <w:tcW w:w="75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1C3D07">
            <w:pPr>
              <w:widowControl/>
              <w:spacing w:after="0" w:line="240" w:lineRule="atLeast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Segoe UI" w:hAnsi="Segoe UI" w:eastAsia="宋体" w:cs="Segoe UI"/>
                <w:color w:val="0F1115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97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5DF35C">
            <w:pPr>
              <w:widowControl/>
              <w:spacing w:after="0" w:line="240" w:lineRule="atLeast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721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4DE4A4">
            <w:pPr>
              <w:widowControl/>
              <w:spacing w:after="0" w:line="240" w:lineRule="atLeast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Segoe UI" w:hAnsi="Segoe UI" w:eastAsia="宋体" w:cs="Segoe UI"/>
                <w:color w:val="0F1115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324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4947B7">
            <w:pPr>
              <w:spacing w:before="120" w:after="120" w:line="288" w:lineRule="auto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线下</w:t>
            </w:r>
          </w:p>
        </w:tc>
      </w:tr>
      <w:tr w14:paraId="404C0ED1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6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F26BCC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9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1E4EEB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新媒体文案创作与视觉设计</w:t>
            </w:r>
          </w:p>
        </w:tc>
        <w:tc>
          <w:tcPr>
            <w:tcW w:w="745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C67719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D3B8F2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69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6B04F6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75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AA4488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97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13F649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721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DC4967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324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F8CA10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线下</w:t>
            </w:r>
          </w:p>
        </w:tc>
      </w:tr>
      <w:tr w14:paraId="3D4615B3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6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E14789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9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8223EB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短视频策划、拍摄与剪辑实战</w:t>
            </w:r>
          </w:p>
        </w:tc>
        <w:tc>
          <w:tcPr>
            <w:tcW w:w="745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A8BD59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74C40A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69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91A321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75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2BE742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97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538047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36</w:t>
            </w:r>
          </w:p>
        </w:tc>
        <w:tc>
          <w:tcPr>
            <w:tcW w:w="721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6D1191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1324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479F20">
            <w:pPr>
              <w:spacing w:before="120" w:after="120" w:line="288" w:lineRule="auto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线下+线上</w:t>
            </w:r>
          </w:p>
        </w:tc>
      </w:tr>
      <w:tr w14:paraId="218C83C6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6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B561C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9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E34118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全域新媒体平台运营实务</w:t>
            </w:r>
          </w:p>
        </w:tc>
        <w:tc>
          <w:tcPr>
            <w:tcW w:w="745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451626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54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6FA73F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69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6FBD87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75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C6D33C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97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A293EA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721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11603D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324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5AAAD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线下+线上</w:t>
            </w:r>
          </w:p>
        </w:tc>
      </w:tr>
      <w:tr w14:paraId="68F97784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6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A7F6B5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9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B044F0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新媒体营销数据分析与流量优化</w:t>
            </w:r>
          </w:p>
        </w:tc>
        <w:tc>
          <w:tcPr>
            <w:tcW w:w="745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517418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54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DF8C71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69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1BAF15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75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187EEA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97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C99905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721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002FA1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324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301306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线下+线上</w:t>
            </w:r>
          </w:p>
        </w:tc>
      </w:tr>
      <w:tr w14:paraId="5CFC2F5F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6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6AEDA7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679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2BEC52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kern w:val="0"/>
                <w:szCs w:val="22"/>
                <w14:ligatures w14:val="none"/>
              </w:rPr>
              <w:t>新媒体内容营销全案综合实训</w:t>
            </w:r>
          </w:p>
        </w:tc>
        <w:tc>
          <w:tcPr>
            <w:tcW w:w="745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15D8A9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54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25A131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69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A58774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75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4A3EE3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97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5B6AD2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721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1DEAC1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1324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C3E0AF">
            <w:pPr>
              <w:spacing w:before="120" w:after="120" w:line="288" w:lineRule="auto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线下+线上</w:t>
            </w:r>
          </w:p>
        </w:tc>
      </w:tr>
      <w:tr w14:paraId="38CB7C66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30" w:type="dxa"/>
            <w:gridSpan w:val="3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B23D48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等线" w:hAnsi="等线" w:eastAsia="等线" w:cs="Arial"/>
                <w:b/>
                <w:kern w:val="0"/>
                <w:szCs w:val="22"/>
                <w14:ligatures w14:val="none"/>
              </w:rPr>
              <w:t>合计</w:t>
            </w:r>
          </w:p>
        </w:tc>
        <w:tc>
          <w:tcPr>
            <w:tcW w:w="54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E5D0F8">
            <w:pPr>
              <w:spacing w:before="120" w:after="120" w:line="288" w:lineRule="auto"/>
              <w:rPr>
                <w:rFonts w:ascii="Calibri" w:hAnsi="Calibri" w:eastAsia="等线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b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69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8E7D75">
            <w:pPr>
              <w:spacing w:before="120" w:after="120" w:line="288" w:lineRule="auto"/>
              <w:rPr>
                <w:rFonts w:ascii="Arial" w:hAnsi="Arial" w:eastAsia="等线" w:cs="Arial"/>
                <w:b/>
                <w:kern w:val="0"/>
                <w:szCs w:val="22"/>
                <w14:ligatures w14:val="none"/>
              </w:rPr>
            </w:pPr>
            <w:r>
              <w:rPr>
                <w:rFonts w:ascii="Arial" w:hAnsi="Arial" w:eastAsia="等线" w:cs="Arial"/>
                <w:b/>
                <w:kern w:val="0"/>
                <w:szCs w:val="22"/>
                <w14:ligatures w14:val="none"/>
              </w:rPr>
              <w:t>224</w:t>
            </w:r>
          </w:p>
        </w:tc>
        <w:tc>
          <w:tcPr>
            <w:tcW w:w="757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6FB04B">
            <w:pPr>
              <w:spacing w:before="120" w:after="120" w:line="288" w:lineRule="auto"/>
              <w:rPr>
                <w:rFonts w:ascii="Calibri" w:hAnsi="Calibri" w:eastAsia="等线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b/>
                <w:kern w:val="0"/>
                <w:szCs w:val="22"/>
                <w14:ligatures w14:val="none"/>
              </w:rPr>
              <w:t>84</w:t>
            </w:r>
          </w:p>
        </w:tc>
        <w:tc>
          <w:tcPr>
            <w:tcW w:w="970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CB0F54">
            <w:pPr>
              <w:spacing w:before="120" w:after="120" w:line="288" w:lineRule="auto"/>
              <w:rPr>
                <w:rFonts w:ascii="Calibri" w:hAnsi="Calibri" w:eastAsia="等线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b/>
                <w:kern w:val="0"/>
                <w:szCs w:val="22"/>
                <w14:ligatures w14:val="none"/>
              </w:rPr>
              <w:t>140</w:t>
            </w:r>
          </w:p>
        </w:tc>
        <w:tc>
          <w:tcPr>
            <w:tcW w:w="721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17DA71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—</w:t>
            </w:r>
          </w:p>
        </w:tc>
        <w:tc>
          <w:tcPr>
            <w:tcW w:w="1324" w:type="dxa"/>
            <w:tcBorders>
              <w:top w:val="single" w:color="DEE0E3" w:sz="2" w:space="0"/>
              <w:left w:val="single" w:color="DEE0E3" w:sz="2" w:space="0"/>
              <w:bottom w:val="single" w:color="DEE0E3" w:sz="2" w:space="0"/>
              <w:right w:val="single" w:color="DEE0E3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23DB1E">
            <w:pPr>
              <w:spacing w:before="120" w:after="120" w:line="288" w:lineRule="auto"/>
              <w:rPr>
                <w:rFonts w:ascii="Calibri" w:hAnsi="Calibri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hAnsi="Arial" w:eastAsia="等线" w:cs="Arial"/>
                <w:kern w:val="0"/>
                <w:szCs w:val="22"/>
                <w14:ligatures w14:val="none"/>
              </w:rPr>
              <w:t>—</w:t>
            </w:r>
          </w:p>
        </w:tc>
      </w:tr>
    </w:tbl>
    <w:p w14:paraId="32F6F58E">
      <w:pPr>
        <w:numPr>
          <w:numId w:val="0"/>
        </w:numPr>
        <w:spacing w:after="0" w:line="360" w:lineRule="auto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14:ligatures w14:val="none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  <w:t>六、</w:t>
      </w: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14:ligatures w14:val="none"/>
        </w:rPr>
        <w:t>学制及结业要求</w:t>
      </w:r>
    </w:p>
    <w:p w14:paraId="473714DD">
      <w:pPr>
        <w:widowControl/>
        <w:numPr>
          <w:ilvl w:val="0"/>
          <w:numId w:val="3"/>
        </w:numPr>
        <w:autoSpaceDN w:val="0"/>
        <w:spacing w:after="100" w:afterAutospacing="1" w:line="240" w:lineRule="auto"/>
        <w:ind w:firstLine="480"/>
        <w:jc w:val="both"/>
        <w:rPr>
          <w:rFonts w:ascii="Times New Roman" w:hAnsi="Times New Roman" w:eastAsia="宋体" w:cs="Times New Roman"/>
          <w:color w:val="333333"/>
          <w:sz w:val="32"/>
          <w:szCs w:val="32"/>
          <w:shd w:val="clear" w:color="auto" w:fill="FFFFFF"/>
          <w14:ligatures w14:val="none"/>
        </w:rPr>
      </w:pPr>
      <w:r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学制：</w:t>
      </w:r>
      <w:r>
        <w:rPr>
          <w:rFonts w:ascii="Times New Roman" w:hAnsi="Times New Roman" w:eastAsia="宋体" w:cs="Times New Roman"/>
          <w:color w:val="333333"/>
          <w:sz w:val="32"/>
          <w:szCs w:val="32"/>
          <w:shd w:val="clear" w:color="auto" w:fill="FFFFFF"/>
          <w14:ligatures w14:val="none"/>
        </w:rPr>
        <w:t>2</w:t>
      </w:r>
      <w:r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学期</w:t>
      </w:r>
    </w:p>
    <w:p w14:paraId="272838AE">
      <w:pPr>
        <w:widowControl/>
        <w:numPr>
          <w:ilvl w:val="0"/>
          <w:numId w:val="3"/>
        </w:numPr>
        <w:autoSpaceDN w:val="0"/>
        <w:spacing w:after="100" w:afterAutospacing="1" w:line="240" w:lineRule="auto"/>
        <w:ind w:firstLine="480"/>
        <w:jc w:val="both"/>
        <w:rPr>
          <w:rFonts w:ascii="Times New Roman" w:hAnsi="Times New Roman" w:eastAsia="宋体" w:cs="Times New Roman"/>
          <w:color w:val="333333"/>
          <w:sz w:val="32"/>
          <w:szCs w:val="32"/>
          <w:shd w:val="clear" w:color="auto" w:fill="FFFFFF"/>
          <w14:ligatures w14:val="none"/>
        </w:rPr>
      </w:pPr>
      <w:r>
        <w:rPr>
          <w:rFonts w:ascii="Times New Roman" w:hAnsi="Times New Roman" w:eastAsia="宋体" w:cs="Times New Roman"/>
          <w:color w:val="333333"/>
          <w:sz w:val="32"/>
          <w:szCs w:val="32"/>
          <w:shd w:val="clear" w:color="auto" w:fill="FFFFFF"/>
          <w14:ligatures w14:val="none"/>
        </w:rPr>
        <w:t xml:space="preserve"> </w:t>
      </w:r>
      <w:r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学分：</w:t>
      </w:r>
      <w:r>
        <w:rPr>
          <w:rFonts w:hint="eastAsia" w:ascii="仿宋_GB2312" w:hAnsi="仿宋_GB2312" w:eastAsia="宋体" w:cs="Times New Roman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  <w:t>14</w:t>
      </w:r>
    </w:p>
    <w:p w14:paraId="4D132F3F">
      <w:pPr>
        <w:widowControl/>
        <w:autoSpaceDN w:val="0"/>
        <w:spacing w:after="100" w:afterAutospacing="1" w:line="240" w:lineRule="auto"/>
        <w:ind w:firstLine="480"/>
        <w:jc w:val="both"/>
        <w:rPr>
          <w:rFonts w:ascii="Times New Roman" w:hAnsi="Times New Roman" w:eastAsia="宋体" w:cs="Times New Roman"/>
          <w:color w:val="333333"/>
          <w:sz w:val="32"/>
          <w:szCs w:val="32"/>
          <w:shd w:val="clear" w:color="auto" w:fill="FFFFFF"/>
          <w14:ligatures w14:val="none"/>
        </w:rPr>
      </w:pPr>
      <w:r>
        <w:rPr>
          <w:rFonts w:ascii="Times New Roman" w:hAnsi="Times New Roman" w:eastAsia="宋体" w:cs="Times New Roman"/>
          <w:color w:val="333333"/>
          <w:sz w:val="32"/>
          <w:szCs w:val="32"/>
          <w:shd w:val="clear" w:color="auto" w:fill="FFFFFF"/>
          <w14:ligatures w14:val="none"/>
        </w:rPr>
        <w:t xml:space="preserve">3. </w:t>
      </w:r>
      <w:r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结业要求：学生完成微专业培养方案规定的相应课程并达到考核要求的，学校为其颁发微专业结业证书。</w:t>
      </w:r>
    </w:p>
    <w:p w14:paraId="74085B07">
      <w:pPr>
        <w:autoSpaceDN w:val="0"/>
        <w:spacing w:after="0" w:line="360" w:lineRule="auto"/>
        <w:jc w:val="both"/>
        <w:rPr>
          <w:rFonts w:ascii="黑体" w:hAnsi="黑体" w:eastAsia="黑体" w:cs="Times New Roman"/>
          <w:color w:val="333333"/>
          <w:sz w:val="32"/>
          <w:szCs w:val="32"/>
          <w:shd w:val="clear" w:color="auto" w:fill="FFFFFF"/>
          <w14:ligatures w14:val="none"/>
        </w:rPr>
      </w:pPr>
      <w:r>
        <w:rPr>
          <w:rFonts w:ascii="黑体" w:hAnsi="黑体" w:eastAsia="黑体" w:cs="Times New Roman"/>
          <w:color w:val="333333"/>
          <w:sz w:val="32"/>
          <w:szCs w:val="32"/>
          <w:shd w:val="clear" w:color="auto" w:fill="FFFFFF"/>
          <w14:ligatures w14:val="none"/>
        </w:rPr>
        <w:t>七、联系人及联系方式</w:t>
      </w:r>
    </w:p>
    <w:p w14:paraId="7F98FEE5">
      <w:pPr>
        <w:autoSpaceDN w:val="0"/>
        <w:spacing w:after="0" w:line="360" w:lineRule="auto"/>
        <w:ind w:firstLine="640" w:firstLineChars="200"/>
        <w:jc w:val="both"/>
        <w:rPr>
          <w:rFonts w:ascii="Times New Roman" w:hAnsi="Times New Roman" w:eastAsia="宋体" w:cs="Times New Roman"/>
          <w:color w:val="333333"/>
          <w:sz w:val="32"/>
          <w:szCs w:val="32"/>
          <w:shd w:val="clear" w:color="auto" w:fill="FFFFFF"/>
          <w14:ligatures w14:val="none"/>
        </w:rPr>
      </w:pPr>
      <w:r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报名联系人：</w:t>
      </w:r>
      <w:r>
        <w:rPr>
          <w:rFonts w:hint="eastAsia" w:ascii="仿宋_GB2312" w:hAnsi="仿宋_GB2312" w:eastAsia="宋体" w:cs="Times New Roman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  <w:t>陈庆盛</w:t>
      </w:r>
      <w:r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老师</w:t>
      </w:r>
    </w:p>
    <w:p w14:paraId="2B779200">
      <w:pPr>
        <w:autoSpaceDN w:val="0"/>
        <w:spacing w:after="0" w:line="360" w:lineRule="auto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  <w14:ligatures w14:val="none"/>
        </w:rPr>
      </w:pPr>
      <w:r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电话：</w:t>
      </w:r>
      <w:r>
        <w:rPr>
          <w:rFonts w:hint="eastAsia"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 xml:space="preserve">   13535537888  </w:t>
      </w:r>
    </w:p>
    <w:p w14:paraId="2528D8C0">
      <w:pPr>
        <w:autoSpaceDN w:val="0"/>
        <w:spacing w:after="0" w:line="360" w:lineRule="auto"/>
        <w:ind w:firstLine="640" w:firstLineChars="200"/>
        <w:jc w:val="both"/>
        <w:rPr>
          <w:rFonts w:ascii="Times New Roman" w:hAnsi="Times New Roman" w:eastAsia="宋体" w:cs="Times New Roman"/>
          <w:color w:val="333333"/>
          <w:sz w:val="32"/>
          <w:szCs w:val="32"/>
          <w:shd w:val="clear" w:color="auto" w:fill="FFFFFF"/>
          <w14:ligatures w14:val="none"/>
        </w:rPr>
      </w:pPr>
      <w:r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邮箱：</w:t>
      </w:r>
      <w:r>
        <w:rPr>
          <w:rFonts w:hint="eastAsia"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552309630@com</w:t>
      </w:r>
    </w:p>
    <w:p w14:paraId="2B1013EB">
      <w:pPr>
        <w:autoSpaceDN w:val="0"/>
        <w:spacing w:after="0" w:line="360" w:lineRule="auto"/>
        <w:ind w:firstLine="640" w:firstLineChars="200"/>
        <w:jc w:val="both"/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</w:pPr>
      <w:r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信息咨询</w:t>
      </w:r>
      <w:r>
        <w:rPr>
          <w:rFonts w:ascii="Times New Roman" w:hAnsi="Times New Roman" w:eastAsia="宋体" w:cs="Times New Roman"/>
          <w:color w:val="333333"/>
          <w:sz w:val="32"/>
          <w:szCs w:val="32"/>
          <w:shd w:val="clear" w:color="auto" w:fill="FFFFFF"/>
          <w14:ligatures w14:val="none"/>
        </w:rPr>
        <w:t>QQ/</w:t>
      </w:r>
      <w:r>
        <w:rPr>
          <w:rFonts w:ascii="仿宋_GB2312" w:hAnsi="仿宋_GB2312" w:eastAsia="宋体" w:cs="Times New Roman"/>
          <w:color w:val="333333"/>
          <w:sz w:val="32"/>
          <w:szCs w:val="32"/>
          <w:shd w:val="clear" w:color="auto" w:fill="FFFFFF"/>
          <w14:ligatures w14:val="none"/>
        </w:rPr>
        <w:t>微信群：</w:t>
      </w:r>
    </w:p>
    <w:p w14:paraId="426E7755">
      <w:pPr>
        <w:autoSpaceDN w:val="0"/>
        <w:spacing w:after="0" w:line="360" w:lineRule="auto"/>
        <w:ind w:firstLine="640" w:firstLineChars="200"/>
        <w:jc w:val="both"/>
        <w:rPr>
          <w:rFonts w:hint="eastAsia" w:ascii="仿宋_GB2312" w:hAnsi="仿宋_GB2312" w:eastAsia="宋体" w:cs="Times New Roman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</w:pPr>
      <w:r>
        <w:rPr>
          <w:rFonts w:hint="eastAsia" w:ascii="仿宋_GB2312" w:hAnsi="仿宋_GB2312" w:eastAsia="宋体" w:cs="Times New Roman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  <w:t>新媒体内容营销微专业咨询群：</w:t>
      </w:r>
    </w:p>
    <w:p w14:paraId="77649F2D">
      <w:pPr>
        <w:autoSpaceDN w:val="0"/>
        <w:spacing w:after="0" w:line="360" w:lineRule="auto"/>
        <w:ind w:firstLine="420" w:firstLineChars="200"/>
        <w:jc w:val="both"/>
        <w:rPr>
          <w:rFonts w:hint="default" w:ascii="仿宋_GB2312" w:hAnsi="仿宋_GB2312" w:eastAsia="宋体" w:cs="Times New Roman"/>
          <w:color w:val="333333"/>
          <w:sz w:val="32"/>
          <w:szCs w:val="32"/>
          <w:shd w:val="clear" w:color="auto" w:fill="FFFFFF"/>
          <w:lang w:val="en-US" w:eastAsia="zh-CN"/>
          <w14:ligatures w14:val="none"/>
        </w:rPr>
      </w:pPr>
      <w:r>
        <w:rPr>
          <w:rFonts w:hint="eastAsia" w:ascii="仿宋_GB2312" w:hAnsi="仿宋_GB2312" w:eastAsia="宋体" w:cs="Times New Roman"/>
          <w:color w:val="333333"/>
          <w:sz w:val="21"/>
          <w:szCs w:val="21"/>
          <w:shd w:val="clear" w:color="auto" w:fill="FFFFFF"/>
          <w:lang w:val="en-US" w:eastAsia="zh-CN"/>
          <w14:ligatures w14:val="none"/>
        </w:rPr>
        <w:drawing>
          <wp:inline distT="0" distB="0" distL="114300" distR="114300">
            <wp:extent cx="3386455" cy="5071745"/>
            <wp:effectExtent l="0" t="0" r="6350" b="5080"/>
            <wp:docPr id="1" name="图片 1" descr="新媒体内容营销微专业咨询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媒体内容营销微专业咨询群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507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FF625"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09B6F6"/>
    <w:multiLevelType w:val="singleLevel"/>
    <w:tmpl w:val="A009B6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301B4AE"/>
    <w:multiLevelType w:val="singleLevel"/>
    <w:tmpl w:val="A301B4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FDB3A71"/>
    <w:multiLevelType w:val="multilevel"/>
    <w:tmpl w:val="4FDB3A71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BC"/>
    <w:rsid w:val="0054349F"/>
    <w:rsid w:val="00DF1ABC"/>
    <w:rsid w:val="0E4C5B42"/>
    <w:rsid w:val="102F1D24"/>
    <w:rsid w:val="126E2D03"/>
    <w:rsid w:val="204F08C2"/>
    <w:rsid w:val="220F3557"/>
    <w:rsid w:val="40ED23C4"/>
    <w:rsid w:val="45E016F9"/>
    <w:rsid w:val="57BE32CF"/>
    <w:rsid w:val="64C96F36"/>
    <w:rsid w:val="68B1281C"/>
    <w:rsid w:val="7A82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eastAsia="en-US"/>
    </w:rPr>
  </w:style>
  <w:style w:type="paragraph" w:styleId="12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1">
    <w:name w:val="标题 6 字符"/>
    <w:basedOn w:val="15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1743</Words>
  <Characters>1785</Characters>
  <Lines>43</Lines>
  <Paragraphs>45</Paragraphs>
  <TotalTime>0</TotalTime>
  <ScaleCrop>false</ScaleCrop>
  <LinksUpToDate>false</LinksUpToDate>
  <CharactersWithSpaces>1786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2026-09-03T01:07:00Z</dcterms:created>
  <dc:creator>8613593132001</dc:creator>
  <cp:lastModifiedBy>黄小燕</cp:lastModifiedBy>
  <dcterms:modified xsi:type="dcterms:W3CDTF">2026-09-05T01:41:36Z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eyJoZGlkIjoiMGZhYmVlOTQwNjEyYzI3NDcyMmQ1YzVhYjY2NmJiMWYiLCJ1c2VySWQiOiI0MjcxMDgyODYifQ==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C2875EFCE60A4AE28A111BEDF704BFE2_12</vt:lpwstr>
  </property>
</Properties>
</file>